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 vom 24. Januar 2024</w:t>
      </w:r>
    </w:p>
    <w:p>
      <w:r>
        <w:t>VD Tribunal cantonal, 2024-01-24, FR</w:t>
      </w:r>
    </w:p>
    <w:p>
      <w:r>
        <w:rPr>
          <w:b/>
        </w:rPr>
        <w:t xml:space="preserve">Quelle: </w:t>
      </w:r>
      <w:r>
        <w:t>https://mcp.opencaselaw.ch/entscheid/vd_findinfo_Jug___2025___1</w:t>
      </w:r>
    </w:p>
    <w:p>
      <w:r>
        <w:t>FR: VD_FINDINFO Jug / 2025 / 1 du 24 janvier 2024</w:t>
      </w:r>
    </w:p>
    <w:p>
      <w:r>
        <w:t>IT: VD_FINDINFO Jug / 2025 / 1 del 24 gennaio 2024</w:t>
      </w:r>
    </w:p>
    <w:p>
      <w:pPr>
        <w:pStyle w:val="Heading2"/>
      </w:pPr>
      <w:r>
        <w:t>Regeste</w:t>
      </w:r>
    </w:p>
    <w:p>
      <w:r>
        <w:t>EXPERTISE PSYCHIATRIQUE, ADMISSION PARTIELLE, EXPULSION{DROIT PÉNAL}, ESCROQUERIE, ASTUCE, PAR MÉTIER, RESPONSABILITÉ RESTREINTE{DROIT PÉNAL} | 146 al. 1 CP, 146 al. 2 CP, 19 al. 2 CP, 22 ad 146 CP, 49 al. 1 CP, 49 al. 2 CP, 182 CPP (CH), 389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V.________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Un préjudice temporaire suffit (ATF 121 IV 104 consid. 2c p. 108). Dans le cadre d'un échange commercial, un dommage peut être retenu lorsqu'un appauvrissement résulte de l'opération prise dans son ensemble (ATF 120 IV 122 consid. 6 b/bb).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3.2.1</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6B_971/2023 du 19 octobre 2023 consid. 1.1 ; TF 6B_1155/2022 du 21 août 2023 consid. 2.1 ; TF 6B_1403/2021 du 9 juin 2022 consid. 1.2, non publié in ATF 148 I 295). La juridiction d'appel peut ainsi refuser des preuves nouvelles lorsqu'une administration anticipée de ces preuves démontre qu'elles ne seront pas de nature à modifier le résultat de celles déjà administrées (ATF 136 I 229 consid. 5.3 ; TF 6B_971/2023 précité consid. 1.1 ; TF 6B_239/2023 du 10 août 2023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 ATF 136 I 229 consid. 5.3 ; TF 6B_971/2023 précité consid. 1.1).</w:t>
      </w:r>
    </w:p>
    <w:p>
      <w:r>
        <w:rPr>
          <w:b/>
        </w:rPr>
        <w:t>E. 3.2.2</w:t>
      </w:r>
    </w:p>
    <w:p>
      <w:r>
        <w:t>Selon l'art. 182 CPP, le ministère public et les tribunaux ont recours à un ou plusieurs experts lorsqu'ils ne disposent pas des connaissances et des capacités nécessaires pour constater ou juger un état de fait. Quant à l'art. 20 CP, il dispose que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7B_738/2023 du 30 novembre 2023 consid. 2.2.2 ; TF 6B_558/2023 du 11 septembre 2023 consid. 3.1).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Selon les circonstances, il est également possible de se contenter d'un complément apporté à une expertise précédente (ATF 134 IV 246 consid. 4.3). Savoir si les circonstances se sont modifiées depuis la première expertise relève du fait (ATF 106 IV 236 consid. 2a ; ATF 106 IV 97 consid. 2). Déterminer si les circonstances nouvelles dûment constatées imposent de réitérer l'expertise est une question d'appréciation, soit de droit (ATF 105 IV 161 consid. 2). Ces principes s'appliquent tant en matière de mesures (cf. art. 56 al. 3 CP) que lorsqu'il s'agit d'examiner la responsabilité pénale au sens des art. 19 et 20 CP (TF 6B_807/2010 du 7 juillet 2011 consid. 2.1).</w:t>
      </w:r>
    </w:p>
    <w:p>
      <w:r>
        <w:rPr>
          <w:b/>
        </w:rPr>
        <w:t>E. 3.3.1</w:t>
      </w:r>
    </w:p>
    <w:p>
      <w:r>
        <w:t>Contrairement à ce que soutient l’appelant, la Cour de céans considère, par appréciation anticipée, que la mise en œuvre d’une expertise psychiatrique n’est pas nécessaire. Même si l’expertise psychiatrique sur laquelle les premiers juges se sont fondés remonte à 2007 et est, partant, relativement ancienne, elle demeure pertinente pour renseigner sur la responsabilité de l’appelant. Tel que cela découle de la jurisprudence précitée (cf. consid. 3.2.2 supra ), ce n'est pas le temps qui s'est écoulé depuis la précédente expertise qui est déterminant mais bien la question de savoir si la situation s'est modifiée dans l'intervalle. Or, en l’occurrence, le diagnostic posé de troubles de conduite, avec difficulté à gérer les émotions et l'impulsivité, ainsi qu'un retard mental léger, conserve toute son actualité. Le comportement de l’appelant à l’origine des condamnations prononcées depuis cette expertise conforte le diagnostic de troubles de conduite, avec difficulté à gérer les émotions et l'impulsivité, étant relevé qu’il a notamment été condamné en 2016 pour vol, escroquerie et faux dans les certificats, en 2018 pour filouterie d’auberge, en 2020 pour lésions corporelles et, en 2022, pour escroquerie. Il en va de même de la curatelle de portée générale, qui confirme la persistance du retard mental léger. La décision de la Justice de paix du 16 juin 2017 reprend d'ailleurs le diagnostic posé dans l'expertise pénale (P. 92/2 annexe 2 p. 3), comme le rapport médical du SMPP du 22 août 2016 (P. 92/2 annexe 3). On ne voit donc pas qu’un autre diagnostic pourrait être posé. Les autres pièces produites par V.________ aux débats d’appel ne démontrent pas non plus que les circonstances auraient changé et que des événements auraient pu aggraver ou modifier les diagnostics posés ou en faire apparaître d’autres. En ce qui concerne en particulier les rapport de la Fondation de Nant, celui du 6 septembre 2023 n'établit pas que l’appelant aurait fait une sérieuse crise de décompensation au mois d'octobre 2021 ou aurait souffert d’hallucination, mais qu’il avait cessé le suivi entrepris (P. 92/2 annexe 4) ; l’attestation du 27 septembre 2024 établit quant à elle que l’appelant a repris un suivi thérapeutique le 15 août 2024, ce qui est opportun (P. 102/5, p. 5). En ce qui concerne enfin l’attestation de la Croix-Bleue, elle démontre que l’appelant bénéficie d’un suivi ambulatoire auprès de cette association dans le but de l’aider à maintenir une abstinence à l’alcool. Tout indique que la consommation problématique d’alcool par l’appelant, dont il a fait état aux débats d’appel, est apparue récemment, de sorte qu’elle n’est pas en lien avec les faits qui lui sont reprochés dans le cadre de la présente procédure, lesquels s’étendent du 1 er janvier 2017 au 8 février 2023. En effet, d’une part, l’appelant n’a jamais évoqué une consommation excessive d’alcool avant les débats d’appel, ayant jusqu’alors expliqué ses agissements en raison de son oisiveté (PV aud.11, R25 ; jugement entrepris, p. 16). D’autre part, selon l’attestation établie par la Croix-Bleue, le suivi a été entrepris récemment, soit au mois de juillet 2024. En définitive, aucun élément du dossier ne démontre que la situation de l’appelant aurait évolué au point que le diagnostic posé ne serait plus pertinent pour juger des faits qui lui sont reprochés dans le cadre de la présente procédure. La réquisition visant à solliciter une expertise psychiatrique doit ainsi être rejetée.</w:t>
      </w:r>
    </w:p>
    <w:p>
      <w:r>
        <w:rPr>
          <w:b/>
        </w:rPr>
        <w:t>E. 3.3.2</w:t>
      </w:r>
    </w:p>
    <w:p>
      <w:r>
        <w:t>La thèse soutenue par la défense de l'irresponsabilité ne résiste pas à l'examen. Aucun élément figurant au dossier ne plaide en faveur d’une irresponsabilité, toutes les pièces convergeant vers une diminution de responsabilité. En premier lieu, selon l'expertise psychiatrique, qui demeure actuelle, comme relevé ci-dessus (cf. consid. 3.3.1 supra ), la responsabilité pénale de V.________ doit être considérée comme atténuée de façon légère à moyenne en raison de ses troubles de conduite, avec difficulté à gérer les émotions et l'impulsivité, et du retard mental léger. Selon les experts, V.________ conserve sa capacité d’apprécier le caractère illicite de ses actes mais, en raison de son retard mental léger, sa capacité à se déterminer d’après cette appréciation est diminuée (P. 59 p. 9). En second lieu, les agissements de l’appelant démontrent qu’il n’est pas irresponsable. Il a les capacités cognitives pour échafauder des stratagèmes relativement complexes, comme il y sera revenu ci-après (cf. consid. 4.3 infra ). En ce qui concerne sa capacité à résister à ses envies pour se conformer à l’ordre juridique, il a déclaré, lors de son audition du 23 août 2022, lorsqu’il a été questionné sur ses récidives malgré une précédente condamnation et ses motivations à agir de la sorte : « C’est juste, c’est une très bonne question. Je ne saurais pas comment l’expliquer. Je pense que le fait de ne pas avoir d’activité professionnelle ne m’[a] pas aidé. Si je devais me lever tous les jours pour travailler je n’aurais pas agi de cette façon. J’ai en quelque sorte choisi de vivre et d’agir dans la facilité. » (PV aud. 11, R25). Aux débats de première instance, il a confirmé ses précédentes déclarations, indiquant : « C’était une période où je n’avais pas d’activité et je ne faisais rien. » (jugement entrepris, p. 16). Ces aveux de paresse du prévenu excluent une irresponsabilité totale. En définitive, il n'y a pas lieu de faire application de l'art. 19 al. 1 CP. Le motif soulevé est ainsi infondé. C'est donc à juste titre que les premiers juges se sont fondés sur l'expertise de 2007 pour retenir une diminution de responsabilité légère à moyenne. Seule une atténuation de peine en raison d'une responsabilité restreinte au sens de l'art. 19 al. 2 CP entre en considération, comme il y sera revenu dans le cadre de l'examen de la peine (cf. consid. 6.3 infra ).</w:t>
      </w:r>
    </w:p>
    <w:p>
      <w:r>
        <w:rPr>
          <w:b/>
        </w:rPr>
        <w:t>E. 4.1</w:t>
      </w:r>
    </w:p>
    <w:p>
      <w:r>
        <w:t>L'appelant plaide qu'à défaut d'astuce, il n'y a pas d'escroquerie. Il soutient que les sociétés venderesses auraient pu se prémunir du préjudice en exigeant un paiement préalable ou simultané à la remise des objets. Il se fonde sur ce point sur la jurisprudence du Tribunal fédéral (cf. ATF 142 IV 153) et fait valoir qu'elle s'appliquerait dans le cas d’espèce.</w:t>
      </w:r>
    </w:p>
    <w:p>
      <w:r>
        <w:rPr>
          <w:b/>
        </w:rPr>
        <w:t>E. 4.2</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escroquerie, une simple tromperie ne suffit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(ATF 142 IV 153 consid. 2.2.2 ; ATF 135 IV 76 consid. 5.2 ; ATF 128 IV 18 consid. 3a). Une tromperie portant sur la volonté d'exécuter un contrat n'est pas astucieuse dans tous les cas. Il est trop schématique d'affirmer que la volonté affichée est un phénomène intérieur invérifiable et qu'une tromperie relative à cette volonté est toujours astucieuse (ATF 118 IV 359 consid. 2 p. 361).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 l'escroquerie a donc été niée (ATF 142 IV 153). Dans une autre affaire de vente sur internet, le Tribunal fédéral a retenu l’astuce, dans la situation où un acheteur avait effectué des commandes sur internet au nom d'un tiers et s'était fait livrer la marchandise sans paiement préalable, soit sur facture, parce que le vendeur disposait d'un système de contrôle qui permettait notamment de vérifier l'identité des acheteurs en faisant appel à une base de données et qu’il n’avait ainsi pas été en mesure de reconnaître le véritable acheteur (TF 6B_584/2018 du 30 août 2018 consid. 2.2). L'escroquerie n'est consommée que s'il y a un dommage (TF 6B_139/2016 du 21 novembre 2016 consid.</w:t>
      </w:r>
    </w:p>
    <w:p>
      <w:r>
        <w:rPr>
          <w:b/>
        </w:rPr>
        <w:t>E. 4.3</w:t>
      </w:r>
    </w:p>
    <w:p>
      <w:r>
        <w:t>Il est établi que V.________ a effectué 149 commandes sur internet auprès de 19 fournisseurs différents, entre le 1 er janvier 2017 et le 8 février 2023, portant sur des biens de consommation courante, et qu'il s'est fait remettre la marchandise sans la payer, s'enrichissant à tout le moins de la somme de 20'333 fr. 41, ce qu'il ne conteste pas, ces faits ayant été admis tant en première instance (cf. jugement entrepris, pp. 16 et 17) qu’aux débats d’appel (cf. supra , p. 4). Contrairement à ce que soutient l’appelant, c’est à juste titre que les premiers juges ont retenu que la condition de l’astuce était réalisée. V.________ a en effet trompé astucieusement les sociétés auprès desquelles il a commandé des biens en utilisant l'identité de ses voisins, l’identité de tiers ou des identités fictives. Il a ainsi créé des faux comptes et a aussi collé des étiquettes sur sa boîte aux lettres afin de se faire livrer la marchandise directement. Comme il le relève lui-même, les commerçants n'étaient pas en mesure de vérifier que les commandes avaient été effectuées au nom de ses voisins, de tiers ou d’identités fictives (P. 92/1, p. 8). L'appelant le savait et c'est là que réside l'astuce. La jurisprudence citée par l'appelant n'est pas de nature à remettre en cause ce qui précède, dans la mesure où elle n’est en l’occurrence pas pertinente. Premièrement, dans l'affaire citée par l’appelant, le Tribunal fédéral avait estimé que la commande d'une imprimante très performante dont le montant s’élevait à 2'200 fr. ne constituait pas, pour un privé, un acte courant où une vérification de la solvabilité de l'acheteur ne s'imposait pas (ATF 142 IV 153 consid. 2.2.4). En l’espèce, l'appelant n'a commandé que des biens de consommation courante dont la valeur n’était pas élevée. Deuxièmement, dans l'affaire citée par l'appelant, le Tribunal fédéral avait retenu qu'il n'était pas difficile pour le vendeur de se protéger contre l'insolvabilité de l'acheteur, dès lors qu'il suffisait au vendeur de ne livrer l'imprimante qu'après avoir reçu le paiement (idem). S’agissant de biens de consommation courante, dans un jugement plus récent, le Tribunal fédéral a considéré que la remise de marchandise sur facture et donc sans paiement préalable n’excluait pas que la condition de l’astuce soit réalisée, dans le cas où le vendeur disposait d’un système de contrôle qui permettait de vérifier l’identité de l’acheteur, en faisant appel à une base de données (TF 6B_584/2018 précité consid. 2.2). En l’occurrence, V.________ a précisément utilisé d’autres identités que la sienne afin de contourner le système de contrôle des vendeurs, ayant constaté qu’avec ses données personnelles « ça ne passait pas » (jugement entrepris, p. 17). Tous les éléments constitutifs de l'infraction d'escroquerie sont dès lors réalisés, étant au surplus relevé que l'appelant n'a jamais payé les factures, qui ont été envoyées à ses voisins, avec des rappels et des commandements de payer, et qu'il a agi avec un dessein d'enrichissement illégitime, dès lors qu'il a commandé les marchandises alors qu'il savait d’emblée qu'il n'était pas en mesure de s'acquitter de leur prix. Le grief soulevé est ainsi infondé. Il s’ensuit que la condamnation de l’appelant pour escroquerie doit être confirmée.</w:t>
      </w:r>
    </w:p>
    <w:p>
      <w:r>
        <w:rPr>
          <w:b/>
        </w:rPr>
        <w:t>E. 5.1</w:t>
      </w:r>
    </w:p>
    <w:p>
      <w:r>
        <w:t>L'appelant plaide que le métier n'est pas réalisé. Il relève que si l'activité délictueuse a porté sur 147 commandes, 55 ne lui ont pas été livrées. Il fait valoir que le butin total réellement obtenu, sur 5 ans et 4 mois, représente 137 fr. par mois, de sorte qu'il serait plus proche du cas bagatelle que du métier.</w:t>
      </w:r>
    </w:p>
    <w:p>
      <w:r>
        <w:rPr>
          <w:b/>
        </w:rPr>
        <w:t>E. 5.2.1</w:t>
      </w:r>
    </w:p>
    <w:p>
      <w:r>
        <w:t>Aux termes de l'art. 146 al. 2 CP, dans sa version en vigueur au moment des faits, si l'auteur fait métier de l'escroquerie, la peine sera une peine privative de liberté de dix ans au plus ou une peine pécuniaire de 90 jours-amende au moins.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TF 6B_1240/2015 du 7 juillet 2016 consid. 1.1). Contrairement à la circonstance qualifiée prévue en matière de stupéfiants et de blanchiment d'argent (art. 19 al. 2 let. c LStup; art. 305bis ch. 2 let. c CP ; ATF 129 IV 188 consid. 3.1.2), l'aggravation du vol par métier n'exige ni chiffre d'affaires ni gain important (TF 6B_1043/2017 du 14 août 2018 consid. 1.1). La qualification de métier n'est admise que si l'auteur a déjà agi à plusieurs reprises (ATF 116 IV 319 consid. 3b ; ATF 119 IV 129 consid. 3a ; TF 6B_117/2015 du 11 février 2016 consid. 24.1). Les seules infractions tentées ne réalisent pas cette condition. Le fait que la tentative est absorbée par le délit consommé par métier lorsque l'auteur a commis plusieurs tentatives ainsi que des délits consommés ne s'oppose pas à ce principe (ATF 123 IV 113 consid. 2d et les références citées ; TF 6B_117/2015 du 11 février 2016 consid. 24.1).</w:t>
      </w:r>
    </w:p>
    <w:p>
      <w:r>
        <w:rPr>
          <w:b/>
        </w:rPr>
        <w:t>E. 5.2.2</w:t>
      </w:r>
    </w:p>
    <w:p>
      <w:r>
        <w:t>L'art. 22 al. 1 CP réunit dans une même disposition le délit manqué (ou tentative achevée) et la tentative inachevée. Il y a délit manqué lorsque l'auteur a achevé son activité coupable, mais que le résultat délictueux ne se produit pas. En revanche, il faut retenir une tentative inachevée lorsque l'auteur a commencé l'exécution d'un crime ou d'un délit sans avoir poursuivi jusqu'au bout son activité coupable (ATF 131 IV 100 consid. 7.2.1).</w:t>
      </w:r>
    </w:p>
    <w:p>
      <w:r>
        <w:rPr>
          <w:b/>
        </w:rPr>
        <w:t>E. 5.3</w:t>
      </w:r>
    </w:p>
    <w:p>
      <w:r>
        <w:t>C'est à juste titre que les premiers juges ont retenu l'aggravante du métier. L'activité délictueuse a porté sur 149 commandes. En ce qui concerne les 55 commandes qui n'ont pas été livrées, l'appelant oublie que les infractions tentées participent au métier, tel que cela résulte de la jurisprudence rappelée ci-dessus. Il omet de ce fait que le revenu déterminant n'est pas uniquement le gain obtenu, mais aussi celui qui était escompté. L'appréciation des premiers juges, mettant en avant l'intensité délictueuse, le nombre de commandes et le caractère régulier des revenus espérés (jugement p. 43) doit être approuvée, de sorte qu'il y a lieu de confirmer l'aggravante du métier. Le grief soulevé est ainsi infondé. Il s’ensuit que la condamnation de l’appelant pour escroquerie par métier doit être confirmée.</w:t>
      </w:r>
    </w:p>
    <w:p>
      <w:r>
        <w:rPr>
          <w:b/>
        </w:rPr>
        <w:t>E. 6.1</w:t>
      </w:r>
    </w:p>
    <w:p>
      <w:r>
        <w:t>L’appelant, qui conclut à sa libération de tout chef d'accusation, ne conteste pas à titre subsidiaire la quotité de la peine infligée. Elle doit toutefois être vérifiée d’office.</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6.2.2</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6B_87/2022 du 13 octobre 2022 consid. 2.2 ; TF 6B_434/2021 du 7 avril 2022 consid. 3.3 ; TF 6B_249/2021 du 13 septembre 2021 consid. 5.2).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 TF 6B_144/2019 du 17 mai 2019 consid. 4.3.1 ; TF 6B_911/2018 du 5 février 2019 consid. 1.2.2). Lorsqu’il y a concours rétrospectif partiel, au lieu de recourir conjointement aux deux premiers alinéas de l'art. 49 CP, il y a lieu de procéder en deux temps. Tout d'abord, le juge doit s'attacher aux infractions commises avant ledit jugement. Le juge doit examiner si, eu égard au genre de peine envisagé, une application de l'art. 49 al. 2 CP entre en ligne de compte (ATF 145 IV 1 consid. 1.3 ; TF 6B_144/2019 précité, consid. 4.3.1).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(TF 6B_144/2019 précité consid. 4.3.1). Si le juge estime que l'auteur doit être condamné pour escroquerie par métier en raison de diverses escroqueries, le fait que certains actes eussent été commis avant une précédente condamnation ne saurait conduire à remettre en cause leur qualification juridique, par exemple en considérant qu'ils ne suffiraient pas, en eux-mêmes, à fonder une aggravante du métier. Il convient donc, en matière de fixation de la peine, de regarder une infraction d'escroquerie par métier comme un tout. En cas de concours rétrospectif partiel, il se justifie de considérer qu'une telle infraction s'insère dans le groupe d'infractions dans lequel prend place le dernier acte d'escroquerie retenu. De la sorte, si un auteur a commis plusieurs escroqueries - justifiant l'application de l'art. 146 al. 2 CP - entrecoupées par une condamnation indépendante, l'intéressé doit uniquement se voir condamné pour escroquerie par métier et l'art. 49 al. 2 ne trouve pas application. Il n'y a pas lieu, dans une telle configuration, de condamner l'auteur dans un premier temps pour les escroqueries - cas échéant par métier - commises antérieurement à la condamnation précédente puis, dans un second temps, pour les escroqueries - cas échéant par métier - commises postérieurement à celle-ci (ATF 145 IV 377 consid. 2.3.3).</w:t>
      </w:r>
    </w:p>
    <w:p>
      <w:r>
        <w:rPr>
          <w:b/>
        </w:rPr>
        <w:t>E. 6.3</w:t>
      </w:r>
    </w:p>
    <w:p>
      <w:r>
        <w:t>V.________ a agi par appât du gain, cédant à la facilité alors qu'il est jeune et au bénéfice d'une formation de cuisinier, de sorte qu'il est en mesure de trouver un emploi et de subvenir à ses besoins. Il a notamment utilisé l'identité de ses voisins et de tiers afin de passer des commandes, faisant abstraction des nombreux désagréments qu'il allait causer à ceux-ci. Il a récidivé dès 2017, alors qu'il avait été condamné en 2016 pour de nombreuses infractions contre le patrimoine. Il a également commis de nouvelles escroqueries en cours d'enquête, alors qu'il était en exécution de peine aux Etablissements de la plaine de l'Orbe. La durée de l'activité délictueuse s'étend sur plus de cinq ans et témoigne de l'ancrage de l'appelant dans la délinquance. En plus de ces infractions contre le patrimoine, l'appelant a attenté à l'honneur et à la liberté de son ex-compagne. A cet égard, il sied de relever que V.________ s’en est déjà pris gravement à une jeune femme par le passé, ayant un antécédent pour tentative de viol. Les condamnations prononcées à l’encontre de l’appelant ne semblent ainsi avoir aucun effet sur son comportement futur. A décharge il doit être tenu compte de l'admission des faits par l'appelant, des excuses qu'il a présentées aux victimes, d'une situation familiale carencée, ainsi que du suivi psychiatrique entrepris auprès de la Fondation de Nant et du suivi ambulatoire débuté auprès de la Croix-Bleue romande. La responsabilité de V.________ est par ailleurs diminuée de façon légère à moyenne, en raison de ses troubles de conduite, avec difficulté à gérer les émotions et l'impulsivité, et du retard mental léger dont il souffre, diminuant ses capacités de mentalisation et sa capacité à prendre pleinement conscience des actes pour lui-même et pour autrui. La culpabilité de l’appelant doit ainsi être qualifiée de moyenne. S'agissant de la quotité de la peine, l'appelant doit être condamné pour injure et menaces, infractions commise le 29 septembre 2020, ainsi que pour escroquerie par métier, pour des actes commis entre le 1 er janvier 2017 et le 7 mars 2023. En ce qui concerne l'injure et les menaces, on se trouve dans la situation où une condamnation doit être prononcée pour des infractions que l'appelant a commises avant d'avoir été condamné pour d'autres infractions. Elles doivent ainsi être rattachées à la condamnation du 13 avril 2022, par laquelle le Ministère public de l'arrondissement de l'Est vaudois avait condamné V.________ pour délit contre la loi sur les stupéfiants, escroquerie et tentative d’escroquerie à une peine privative de liberté de 180 jours. S'il avait également eu à juger des injures, le Ministère public les aurait sanctionnées d'une peine pécuniaire. Il convient ainsi de sanctionner cette infraction d'une peine cumulative de 10 jours-amende, correspondant à la peine prononcée par les premiers juges. En ce qui concerne les menaces, si le procureur avait eu à les juger simultanément, il s'en serait tenu, au vu du principe d'aggravation et de la limite de peine pouvant être prononcée dans une ordonnance pénale (art. 49 al. 1 et 352 al. 1 let. d CPP), à une peine privative de liberté de 6 mois. La peine complémentaire est dès lors égale à zéro. En ce qui concerne l’infraction d’escroquerie par métier, elle doit être considérée comme un tout s'insérant dans le groupe d'infractions dans lequel prend place le dernier de ces actes, soit le 7 mars 2023. Une peine indépendante doit ainsi être fixée s'agissant d'une infraction commise postérieurement à la dernière condamnation de l'appelant. Cette infraction doit être sanctionnée d'une peine privative de liberté de 20 mois. Cette peine n'est cependant pas partiellement complémentaire aux peines prononcées les 12 mai 2019, 14 mai 2020 et 13 avril 2022, comme retenu à tort par les premiers juges. Le jugement devra être modifié sur ce point. C’est au surplus valablement que les premiers juges ont considéré qu’un sursis n’entrait pas en ligne de compte. Les peines seront donc fermes, le pronostic quant au comportement futur de l’appelant étant indéniablement défavorable.</w:t>
      </w:r>
    </w:p>
    <w:p>
      <w:r>
        <w:rPr>
          <w:b/>
        </w:rPr>
        <w:t>E. 7</w:t>
      </w:r>
    </w:p>
    <w:p>
      <w:r>
        <w:t>Vu la confirmation de la condamnation de l’appelant pour escroquerie par métier, il convient de rejeter sa conclusion tendant à sa libération des conclusions civiles, laquelle n’est pas motivée, étant au demeurant relevé, s’agissant des conclusions civiles prises à hauteur de 2'345 fr. par L.________, que V.________ les a admises sur le principe (cf. jugement entrepris, p. 16).</w:t>
      </w:r>
    </w:p>
    <w:p>
      <w:r>
        <w:rPr>
          <w:b/>
        </w:rPr>
        <w:t>E. 8.1</w:t>
      </w:r>
    </w:p>
    <w:p>
      <w:r>
        <w:t>L'appelant conteste son expulsion, faisant valoir que ses attaches en Suisse y feraient obstacle. Il rappelle qu'il est arrivé en Suisse à l'âge de 7 ans, y a été scolarisé et y a vécu quasiment toute sa vie. Il relève qu'il est père de deux enfants mineurs qui vivent en Suisse. Il se prévaut aussi de son état de santé et de la mesure de protection instituée en Suisse, soit la curatelle de portée générale, dont il y aurait lieu de tenir compte. Pour ces motifs, il soutient qu'ordonner son expulsion de Suisse le placerait dans une situation personnelle grave au sens de l'art. 66 a al. 2 CP.</w:t>
      </w:r>
    </w:p>
    <w:p>
      <w:r>
        <w:rPr>
          <w:b/>
        </w:rPr>
        <w:t>E. 8.2.1</w:t>
      </w:r>
    </w:p>
    <w:p>
      <w:r>
        <w:t>Le juge expulse de Suisse l'étranger qui est condamné pour escroquerie par métier, quelle que soit la quotité de la peine prononcée à son encontre, pour une durée de cinq à quinze ans (art. 66 a al. 1 let. c CP).</w:t>
      </w:r>
    </w:p>
    <w:p>
      <w:r>
        <w:rPr>
          <w:b/>
        </w:rPr>
        <w:t>E. 8.2.2</w:t>
      </w:r>
    </w:p>
    <w:p>
      <w:r>
        <w:t>L'art. 66 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w:t>
      </w:r>
    </w:p>
    <w:p>
      <w:r>
        <w:rPr>
          <w:b/>
        </w:rPr>
        <w:t>E. 8.3</w:t>
      </w:r>
    </w:p>
    <w:p>
      <w:r>
        <w:t>La condamnation de V.________ pour escroquerie par métier constitue un cas d'expulsion obligatoire (art. 66 a al. 1 let. c CP). Il sied d'examiner s'il peut être fait application de la clause de rigueur (art. 66 a al. 2 CP) . Le prévenu, ressortissant d'Angola, est arrivée en Suisse alors qu'il était âgé de 7 ans et il vit depuis lors dans le pays. Il n’a aucune attache avec son pays d’origine. Souffrant de troubles de conduite, avec difficulté à gérer les émotions et l'impulsivité, ainsi qu'un retard mental léger, il a récemment repris un suivi auprès de la Fondation de Nant. Il bénéficie au demeurant d’une mesure de curatelle, ses perspectives d’obtenir une mesure de protection dans son pays d’origine étant aléatoires. Il a déjà été actif professionnellement et est au bénéfice d'une formation de cuisinier, acquise en Suisse. Il est père de deux enfants mineurs qui vivent en Suisse. S'il ne dispose d'aucun droit de garde, il est en contact avec ceux-ci. Il déclare appeler régulièrement son fils cadet et voir son fils aîné lorsque celui-ci rend visite à son grand-père paternel. Des démarches seraient en cours afin qu'il puisse à nouveau bénéficier d'un droit de visite sur son fils cadet. Le père de l'appelant ainsi que plusieurs de ses demi-frères et sœurs vivent en Suisse. Un renvoi de l’appelant en Angola le placerait ainsi dans une situation personnelle grave. En ce qui concerne la deuxième condition, l’appelant a certes de nombreux antécédents en Suisse, certains pour des faits graves. Par ailleurs, son intégration professionnelle est mauvaise. Il existe dès lors un intérêt public à prononcer son renvoi. Cependant, la Cour de céans considère que l'intérêt privé de l'appelant à rester en Suisse est suffisant pour contrebalancer l'intérêt public à son expulsion. Il sera dès lors renoncé à prononcer son expulsion, le prévenu pouvant se prévaloir d’un cas de rigueur. Partant, le jugement sera modifié sur ce point. V.________ est cependant rendu attentif au fait qu'en cas de nouvelle condamnation, l'analyse des conditions précitées ne serait pas nécessairement la même, l'intérêt public à une expulsion pouvant l'emporter sur son intérêt privé à demeurer en Suisse.</w:t>
      </w:r>
    </w:p>
    <w:p>
      <w:r>
        <w:rPr>
          <w:b/>
        </w:rPr>
        <w:t>E. 9</w:t>
      </w:r>
    </w:p>
    <w:p>
      <w:r>
        <w:t>Vu la confirmation de la condamnation de l’appelant pour escroquerie par métier, injure et menaces, il n’y a pas lieu de le libérer des frais mis à sa charge en première instance.</w:t>
      </w:r>
    </w:p>
    <w:p>
      <w:r>
        <w:rPr>
          <w:b/>
        </w:rPr>
        <w:t>E. 10</w:t>
      </w:r>
    </w:p>
    <w:p>
      <w:r>
        <w:t>Au vu de ce qui précède, l’appel doit être partiellement admis et le jugement entrepris réformé dans le sens des considérants. Me Giuliano Scuderi, défenseur d’office de V.________, a produit une liste d’opérations ne prêtant pas le flanc à la critique. En comptant la durée effective de l’audience, soit en enlevant une heure au temps annoncé, il sera retenu 11 heures et 17 minutes d’activité, ainsi qu’une vacation. Au tarif horaire de 180 fr. (art. 2 al. 1 let. a et 3 al. 1 RAJ [règlement sur l’assistance judiciaire en matière civile du 7 décembre 2010 ; BLV 211.02.3] par renvoi de l’art. 26b TFIP [tarif des frais de procédure et indemnités en matière pénale du 28 septembre 2010 ; BLV 312.03.1]), son indemnité s’élève à 2'031 francs. S’y ajoutent 2% pour les débours (art. 3bis RAJ par renvoi de l’art. 26b TFIP), soit 40 fr. 65, une vacation à 120 fr. et 8.1% de TVA sur le tout, de sorte que l’indemnité d’office pour la procédure d’appel s’élève au total à 2'369 fr.</w:t>
      </w:r>
    </w:p>
    <w:p>
      <w:r>
        <w:rPr>
          <w:b/>
        </w:rPr>
        <w:t>E. 15</w:t>
      </w:r>
    </w:p>
    <w:p>
      <w:r>
        <w:t>Vu l’issue de la cause, les frais de la procédure d’appel, par 5’849 fr. 15, constitués des émoluments de jugement et d’audience, par 3’480 fr. (art. 21 al. 1 et 2 TFIP), ainsi que de l'indemnité précitée, sont mis par deux tiers à la charge de V.________, qui succombe en partie (art. 428 al. 1, 1 re phrase, CPP), soit par 3’899 fr. 45, le solde étant laissé à la charge de l’Etat. L’appelant sera tenu de rembourser à l’Etat les deux tiers de l'indemnité susmentionnée, soit 1'579 fr. 45,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