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97 vom 25. Juli 2023</w:t>
      </w:r>
    </w:p>
    <w:p>
      <w:r>
        <w:t>VD Tribunal cantonal, 2023-07-25, FR</w:t>
      </w:r>
    </w:p>
    <w:p>
      <w:r>
        <w:rPr>
          <w:b/>
        </w:rPr>
        <w:t xml:space="preserve">Quelle: </w:t>
      </w:r>
      <w:r>
        <w:t>https://mcp.opencaselaw.ch/entscheid/vd_findinfo_Jug___2024___97</w:t>
      </w:r>
    </w:p>
    <w:p>
      <w:r>
        <w:t>FR: VD_FINDINFO Jug / 2024 / 97 du 25 juillet 2023</w:t>
      </w:r>
    </w:p>
    <w:p>
      <w:r>
        <w:t>IT: VD_FINDINFO Jug / 2024 / 97 del 25 luglio 2023</w:t>
      </w:r>
    </w:p>
    <w:p>
      <w:pPr>
        <w:pStyle w:val="Heading2"/>
      </w:pPr>
      <w:r>
        <w:t>Regeste</w:t>
      </w:r>
    </w:p>
    <w:p>
      <w:r>
        <w:t>CONSTATATION DES FAITS, PRÉSOMPTION D'INNOCENCE, PROTECTION DE LA PERSONNALITÉ, DROIT D'ÊTRE ENTENDU, DÉPENS | 49 al. 1 CO, 10 CPP (CH), 3 al. 2 let. c CPP (CH), 398 al. 3 let. b CPP (CH), 433 al. 1 CPP(CH)</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L’appelante se plaint d’une constatation incomplète et erronée des faits et d’une violation de la maxime d’instruction. Elle reproche aux premiers juges d’avoir considéré qu’il n’était pas établi que O.________ était l’auteur du courrier injurieux et menaçant qui lui a été adressé le 20 décembre 2022, alors que, selon elle, il existerait une ressemblance entre l’écriture du courrier incriminé (P. 78/2) et les écrits de l’intimé. Elle fait également valoir que les termes utilisés feraient partie du vocabulaire de l’intimé et qu’il serait notoire que celui-ci a un problème avec les femmes. Elle estime pour le surplus que les premiers juges auraient dû ordonner une expertise d’écritures pour confirmer ou infirmer la culpabilité de O.________.</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 e éd., Bâle 2019, n. 19 ad art. 398 CPP et les références citées). En application de la maxime d’instruction, consacré à l’art. 6 CPP, les autorités pénales recherchent d’office tous les faits pertinents pour la qualification de l’acte et le jugement du prévenu (al. 1) et instruisent avec un soin égal les circonstances qui peuvent être à la charge et à la décharge du prévenu (al. 2). La maxime de l'instruction n'oblige toutefois pas l’autorité à administrer des preuves d'office, respectivement requises, lorsque les preuves administrées lui ont permis de se forger une conviction et que, procédant d'une manière non arbitraire à une appréciation anticipée d'autres preuves, elle a la certitude qu'elles ne pourraient pas l'amener à modifier son opinion (art. 139 al. 2 CPP ; TF 6B_1463/2020 du 5 janvier 2022 consid. 2.1.1 ; TF 6B_985/2020 du 23 septembre 2021 consid. 2.1.1).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 e éd., Bâle 2019, n. 34 ad art. 10 CPP).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précité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w:t>
      </w:r>
    </w:p>
    <w:p>
      <w:r>
        <w:rPr>
          <w:b/>
        </w:rPr>
        <w:t>E. 3.3</w:t>
      </w:r>
    </w:p>
    <w:p>
      <w:r>
        <w:t>Les premiers juges ont fondé leur doute sur les éléments au dossier, aucune expertise d’écritures n’ayant été ordonnée. Ils ont indiqué que O.________ avait catégoriquement contesté avoir adressé le courrier incriminé à X.________ et qu’il l’avait à peine côtoyée lors d’une activité, sans que leurs échanges ne dépassent les salutations d’usage, ce que l’appelante a confirmé. Les premiers juges ont ainsi relevé qu’il n’existait aucun conflit entre les deux protagonistes qui aurait pu justifier le courrier incriminé. De plus, les premiers juges se sont livrés à une comparaison des écritures et ont constaté que celles-ci ne frappaient pas par leur similarité et que seule une recherche approfondie permettait de retrouver quelques similitudes, non systématiques, dans la manière d’écrire certaines lettres. La Cour de céans s’est également prêtée à l’exercice de comparaison et a constaté que les graphismes frappaient surtout par leurs différences. Certes, l’appelante relève des similitudes entres les lettres « M », « S », « R » et « G », mais il faut admettre qu’elles ne sont pas flagrantes. S’il est vrai que l’on peut voir des similitudes dans la manière de former certaines lettres, on constate surtout que la forme des lettres « A » et des lettres « D » sont totalement distinctes. L’appelante se dit aujourd’hui convaincue de la culpabilité de l’intimé, mais lors de son audition, elle était moins catégorique puisqu’elle a indiqué : « C’est mon supérieur qui en voyant l’écriture, m’a indiqué qu’il pensait que c’était O.________. J’ai alors pris les anciennes fiches de demande d’atelier remplies par O.________ pour comparer les deux écritures. Mon supérieur en a fait de même et nous sommes arrivés à la conclusion qu’il devait s’agir de O.________. Au terme de la séance, entre mon supérieur et la direction, ce dernier m’a fait un retour et m’a indiqué que, pour le directeur il s’agit (sic) effectivement de l’écriture de O.________ » (PV aud. 5, ll. 66 à 72). La direction de la prison a toutefois décidé de classer la procédure disciplinaire le 22 décembre 2022 (cf. P. 75) pour le motif que « malgré les fortes similitudes des caractères utilisés par l’auteur des deux fiches et l’écriture de M. O.________, l’audition de l’intéressé n’a pas permis de déterminer l’implication de ce dernier ». Il apparaît dès lors que, malgré ce qu’a indiqué l’appelante, la direction de la prison avait des doutes assez importants pour qu’elle ne donne aucune suite à ces faits. Outre les similitudes des écritures, l’appelante fait également valoir comme moyens de preuves divers documents (cf. P. 30, 39 et 89) qui démontreraient, selon elle, que O.________ aurait eu un comportement problématique tout au long de son incarcération, en particulier avec les femmes. Elle allègue également que le vocabulaire utilisé dans la lettre litigieuse serait similaire à celui qu’il utilise et qu’il l’a diffamée peu après les faits, ce qui prouverait sa culpabilité. Il est exact que le comportement de O.________ en prison n’est pas irréprochable et sa fiche personnelle mentionne divers incidents, dont certains ont abouti à des décisions de sanction, l’intimé semblant avoir une faible tolérance à la frustration. Trois de ces décisions concernaient des injures et menaces, mais un seul cas concernait une femme, soit une infirmière que l’intimé a traitée de « sale pute » (cf. P. 30). A la lecture des rapports en question, on constate que O.________ a admis avoir insulté et menacé ses victimes et il a admis sans détour lors de l’audience de première instance qu’il avait injurié d’autres membres du personnel pénitencier (cf. jgt p. 6). Ainsi, de manière générale, à l’exception du courrier litigieux, O.________ a admis l’intégralité des faits qui lui étaient reprochés, dont certains concernaient des crimes bien plus graves, de sorte qu’on comprend mal les raisons qui le pousseraient à contester un cas en particulier. Par ailleurs, contrairement à ce qu’indique l’appelante, on ne saurait considérer que les termes utilisés dans ledit écrit, soit « pute », « chienne » et « salope », seraient propres au vocabulaire de l’intimé, tant ils sont utilisés couramment pour injurier les femmes. D’autant plus que, s’il est vrai que l’intimé a traité une infirmière de « sale pute », il a également utilisé le terme de « catin » en parlant de l’appelante, terme moins courant qui ne figure pas dans le courrier litigieux. Un autre détenu peut avoir rédigé ce courrier et O.________ n’est probablement pas le seul détenu à avoir un problème avec les femmes. On peut enfin observer que, lors de l’envoi de l’écrit, O.________ n’avait encore eu aucun conflit avec l’appelante. Compte tenu de ce qui précède, le doute conçu par les premiers juges est raisonnable, si bien qu’on ne discerne aucun arbitraire dans l’appréciation des preuves. Pour le surplus, on ne saurait reprocher au Ministère public ou aux premiers juges de ne pas avoir ordonné d’expertise d’écritures. En effet, cette mesure, dont le résultat est exprimé en probabilités, ne permet en général pas d’obtenir une quelconque certitude et sa mise en œuvre serait manifestement disproportionnée eu égard à la gravité des infractions en cause. Le grief de X.________ doit donc être rejeté et le jugement entrepris confirmé sur ce point. 4. 4.1 L’appelante ayant conclu à la condamnation de O.________ pour menaces, celle-ci réclame que le montant de son indemnité pour tort moral soit augmenté de 500 fr. à 1'000 francs. Elle fait valoir que les menaces de mort qu’aurait proférées l’intimé lui ont causé une importante douleur, celle-ci ayant souffert d’angoisses et de troubles du sommeil. 4.2 La Cour de céans ayant confirmé la libération de O.________ du chef d’accusation de menaces et les souffrances alléguées par l’appelante étant dues à cette infraction principalement, il n’y a pas lieu de revoir à la hausse l’indemnité pour tort moral qui lui a été allouée par les premiers juges. En outre, le montant de 500 fr. accordé en première instance et qui se rapporte uniquement à l’infraction de diffamation – X.________ ayant été traitée de « catin » par O.________ – est adéquat. 5. 5.1 Toujours en lien avec sa conclusion à la condamnation de O.________ pour menaces, l’appelante réclame que des mesures de protection soient ordonnées, soit qu’interdiction soit faite à l’intimé de l’approcher, ainsi que ses proches, à moins de 200 mètres ou de prendre contact avec elle et ses proches de quelque manière que ce soit. 5.2 O.________ étant libéré de l’infraction de menaces qui fonderait la mesure de protection, il y a lieu de rejeter ce moyen. On relèvera par surabondance de moyens qu’une telle interdiction paraît superflue, dès lors que l’expulsion prononcée à l’encontre de l’intimé, dont la violation constitue un délit (art. 291 CP), est bien plus incisive que la mesure civile, même assortie de la menace de payer une amende en cas d’irrespect de la mesure (art. 292 CP). 6. 6.1 L’appelante reproche aux premiers juges d’avoir considéré que la cause ne présentait aucune difficulté particulière de sorte qu’ils ont arrêté ses dépens à 1'500 fr., correspondant à 6 heures d’activités à un tarif de 250 fr. l’heure, alors qu’elle réclamait 13'243 fr. 70, soit 32 heures et 15 minutes au tarif horaire de 350 francs. Les premiers juges n’ayant pas précisé quelles opérations effectuées par son avocate auraient été superflues, elle fait valoir une violation de son droit d’être entendue faute de motivation. 6.2 6.2.1 Le droit d’être entendu, garanti par les art. 3 al. 2 let. c CPP, 29 al. 2 Cst. et 6 par. 1 CEDH (Convention de sauvegarde des droits de l’Homme et des libertés fondamentales conclue du 4 novembre 1950 ; RS 0.101),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que l’intéressé puisse se rendre compte de la portée de celle-ci et l'attaquer en connaissance de cause (ATF 134 I 83 consid. 4.1 ; ATF 133 III 439 consid. 3.3 ; Moreillon/Parein-Reymond, Petit commentaire Code de procédure pénale, 2 e éd., Bâle 2016, nn. 6 ss ad art. 80 CPP). Selon la jurisprudence rendue en matière de dépens, la garantie du droit d'être entendu implique que lorsque le juge statue sur la base d'une liste de frais, il doit, s'il entend s'en écarter, au moins brièvement indiquer les raisons pour lesquelles il tient certaines prétentions pour injustifiées, afin que son destinataire puisse attaquer la décision en connaissance de cause (TF 6B_1341/2019 du 20 février 2020 consid. 2.1 ; TF 6B_248/2019 du 29 mars 2019 consid. 2.1.2 ; TF 6B_1410/2017 du 15 juin 2018 consid. 3.1). En règle générale, il appartient à la juridiction d’appel de corriger les erreurs commises par le tribunal de première instance dans l’établissement des faits et l’application du droit (art. 408 CPP). Si la procédure de première instance présente des vices importants auxquels il est impossible de remédier en procédure d’appel, la juridiction d’appel annule le jugement attaqué et renvoie la cause au tribunal de première instance pour qu’il soit procédé à de nouveaux débats et pour qu’un nouveau jugement soit rendu. L’annulation du jugement attaqué et le renvoi de la cause au tribunal de première instance par la juridiction d’appel n’entrent en considération qu’en présence de vices importants auxquels il ne peut pas être remédié en procédure d'appel et pour lesquels le renvoi est nécessaire afin de garantir le respect des droits des parties à la procédure (ATF 143 IV 408 consid. 6). Une violation du droit d’être entendu – qui entraîne en principe l’annulation de la décision indépendamment des chances de succès du recours sur le fond (ATF 135 I 187 consid. 2.2) –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 6.2.2 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obtient gain de cause au sens de l'art. 433 al. 1 CPP si les prétentions civiles sont admises ou lorsque le prévenu est condamné. Dans ce dernier cas, la partie plaignante peut être indemnisée pour les frais de défense privée en relation avec la plainte pénale (ATF 139 IV 102 consid. 4.1 et 4.3 ; TF 6B_483/2020 du 13 octobre 2020 consid. 3.1).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 TF 6B_483/2020 précité les références citées). En particulier, les démarches doivent apparaître nécessaires et adéquates pour la défense raisonnable du point de vue de la partie plaignante (ATF 139 IV 102 consid. 4.3 ; TF 6B_1008/2017 du 5 avril 2018 consid. 2.1). Lorsqu'un tarif cantonal existe, il doit être pris en considération pour fixer le montant de l'indemnisation. Il sert de guide pour la détermination de ce qu'il faut entendre par frais de défense usuels (TF 6B_111/2017 du 17 octobre 2017 consid. 4.1 ; TF 6B_796/2016 du 15 mai 2017 consid. 2.2.2 ; TF 6B_392/2013 du 4 novembre 2013 consid. 2.3). Tel est le cas dans le canton de Vaud, l'art. 26a TFIP (tarif des frais de procédure et indemnités en matière pénale du 28 septembre 2010 ; BLV 312.03.1) énonçant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6.3 Le pouvoir de cognition de l’autorité d’appel étant entier, celle-ci peut compléter les éventuelles lacunes du jugement et réparer l’éventuelle violation du droit d’être entendu de l’appelante. En l’espèce, le conseil de l’appelante a produit une liste des opérations faisant état d’une durée d’activité nécessaire d’avocat de 32 heures et 15 minutes au tarif horaire de 350 francs. On constate d’emblée que le temps dévolu à l’audience de première instance a été surévalué de deux heures. Il s’agit de plus d’une affaire simple et aux enjeux limités, si bien que le tarif horaire doit être ramené à 250 francs. L’essentiel de la plainte pénale déposée par l’appelante ayant été écarté, sa conclusion en tort moral ayant été réduite de moitié et les mesures civiles d’éloignement requises ayant été rejetées, seuls des dépens réduits devaient être alloués. Le montant de 1'500 fr., qui correspond au cinquième des heures consacrées au mandat au tarif horaire de 250 fr., s’avère ainsi adéquat. Le jugement de première instance doit donc être confirmé sur ce point également.</w:t>
      </w:r>
    </w:p>
    <w:p>
      <w:r>
        <w:rPr>
          <w:b/>
        </w:rPr>
        <w:t>E. 7</w:t>
      </w:r>
    </w:p>
    <w:p>
      <w:r>
        <w:t>Au vu de ce qui précède, l’appel de X.________ doit être rejeté et le jugement entrepris confirmé. La détention subie par l’intimé depuis le jugement de première instance sera déduite (art. 51 CP). Le maintien en exécution anticipée de peine de l’intimé sera ordonné.</w:t>
      </w:r>
    </w:p>
    <w:p>
      <w:r>
        <w:rPr>
          <w:b/>
        </w:rPr>
        <w:t>E. 8</w:t>
      </w:r>
    </w:p>
    <w:p>
      <w:r>
        <w:t>Vu l’issue de la cause, les frais de procédure d’appel, constitués de l’émolument d’audience et de jugement par 2’460 fr., (art. 21 al. 1 et 2 TFIP) seront mis à la charge de l’appelante qui succombe (art. 428 al. 1 CPP). Outre l’émolument, les frais d’appel comprennent également l’indemnité allouée au défenseur d’office de l’intimé (art. 422 al. 2 let. a CPP). L’indemnité de Me Estelle Lang, défenseur d’office, doit être arrêtée sur la base de la liste d’opérations produite à l’audience d’appel qui est adéquate, si ce n’est que le temps estimé de l’audience sera ajusté à sa durée effective et les débours forfaitaires accordés à hauteur de 2 % et non 5 % (art. 3bis al. 1 RAJ [règlement du 7 décembre 2010 sur l'assistance judiciaire en matière civile ; BLV 211.02.3], applicable par renvoi de l’art. 26b TFIP). Il y a ainsi lieu d’indemniser 4 heures et 3 minutes au tarif horaire de 180 fr., soit 729 fr., auxquels il convient d’ajouter des débours forfaitaires à concurrence de 2 %, soit 14 fr. 60, ainsi que la TVA à 7,7 %, par 57 fr. 25, soit un total de 800 fr 85 pour les opérations effectuées jusqu’au 31 décembre 2023. S’agissant des opérations ayant eu lieu dès le 1 er janvier 2024, il y a lieu d’indemniser 6 heures au tarif horaire de 180 fr., soit 1'080 fr. plus les débours, par 21 fr. 60, deux vacations à 120 fr., et la TVA à 8,1 %, par 108 fr. 65, soit un total de 1'450 fr. 25. L’indemnité totale s’élèvera ainsi à 2'251 fr.</w:t>
      </w:r>
    </w:p>
    <w:p>
      <w:r>
        <w:rPr>
          <w:b/>
        </w:rPr>
        <w:t>E. 10</w:t>
      </w:r>
    </w:p>
    <w:p>
      <w:r>
        <w:t>, TVA et débours inclus.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