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9 vom 4. Juli 2023</w:t>
      </w:r>
    </w:p>
    <w:p>
      <w:r>
        <w:t>VD Tribunal cantonal, 2023-07-04, FR</w:t>
      </w:r>
    </w:p>
    <w:p>
      <w:r>
        <w:rPr>
          <w:b/>
        </w:rPr>
        <w:t xml:space="preserve">Quelle: </w:t>
      </w:r>
      <w:r>
        <w:t>https://mcp.opencaselaw.ch/entscheid/vd_findinfo_Jug___2024___9</w:t>
      </w:r>
    </w:p>
    <w:p>
      <w:r>
        <w:t>FR: VD_FINDINFO Jug / 2024 / 9 du 4 juillet 2023</w:t>
      </w:r>
    </w:p>
    <w:p>
      <w:r>
        <w:t>IT: VD_FINDINFO Jug / 2024 / 9 del 4 luglio 2023</w:t>
      </w:r>
    </w:p>
    <w:p>
      <w:pPr>
        <w:pStyle w:val="Heading2"/>
      </w:pPr>
      <w:r>
        <w:t>Regeste</w:t>
      </w:r>
    </w:p>
    <w:p>
      <w:r>
        <w:t>CONTRAINTE{DROIT PÉNAL}, IN DUBIO PRO REO, VIOL, PARTIE CIVILE | 181 CP, 190 al. 1 CP, 10 al. 1 CPP (CH), 122 al. 1 CPP (CH)</w:t>
      </w:r>
    </w:p>
    <w:p>
      <w:pPr>
        <w:pStyle w:val="Heading2"/>
      </w:pPr>
      <w:r>
        <w:t>Erwägungen</w:t>
      </w:r>
    </w:p>
    <w:p>
      <w:r>
        <w:rPr>
          <w:b/>
        </w:rPr>
        <w:t>E. 1.1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1.2</w:t>
      </w:r>
    </w:p>
    <w:p>
      <w:r>
        <w:t>; TF 6B_1404/2021 du 8 juin 2022 consid. 3.2 ; TF 6B_894/2021 du 28 mars 2022 consid. 3.4). Il doit vouloir ou accepter que la victime soit contrainte par le moyen qu’il met en œuvre ou la situation qu’il exploite. Il doit enfin vouloir ou accepter que la victime se soumette à l’acte sexuel sous l’effet de la contrainte. 8.3 Les deux parties ont livré des versions constantes et détaillées s’agissant des faits du 3 mai 2020. Certains éléments factuels sont admis par les deux parties, à savoir qu’ils avaient entretenu une relation sexuelle au sens large, dans la salle de bain, et que le prévenu avait éjaculé dans la cuvette des WC. Les moyens de l’appelant pour décrédibiliser la plaignante ne convainquent pas. Ainsi, alors qu’il soutient qu’elle aurait déclaré à tort qu’il avait pris une douche, elle a dit seulement l’avoir entendu se doucher (P. 4, p. 7 : « J’ai entendu que [...] se douchait »). Cette déposition est compatible avec la version de l’appelant selon laquelle il ne se serait lavé que le sexe. De même, la plaignante a admis que l’ordinateur acquis était un bien du couple et non un élément de son propre patrimoine. En outre, il est hautement vraisemblable que le numéro d’appel d’urgence de la police ait été enregistré dans la mémoire du téléphone. Quant au moyen de l’appelant selon lequel il ne pourrait plus suivre l’intimée faute d’avoir un véhicule, il suffit de rappeler qu’une interdiction d’approcher a été prononcée à l’égard de l’époux en procédure de mesures protectrices de l’union conjugale (P. 64/2) et qu’il a engagé un détective privé pour la suivre (cf. P. 63/2 et 65/2), ce qui dénote déjà sa volonté d’être informé de ses faits et gestes. Quant à son absence d’intégrisme religieux, il suffit de rappeler qu’il faisait le ramadan le soir du 3 mai 2020, qu’il a saisi les autorités tunisiennes plutôt que le juge suisse pour ouvrir action en divorce, respectivement en séparation (cf. jugement, p. 9-10) et qu’il a déclaré ce qui suit lors des débats de première instance : « En Tunisie, on jure sur le Coran si deux personnes se contredisent. Je suis prêt à jurer sur le Coran que je n’ai pas volé quoi que ce soit » (jugement, p. 10). Ainsi, rien n’indique que la plaignante tenait des propos contradictoires justifiait que l’on considère sa version comme non crédible. L’appelant fait aussi grand cas d’une position impossible lors des rapports sexuels dénoncés par la plaignante. Il reconnaît avoir eu des relations sexuelles, soit d’avoir pénétré digitalement la plaignante, de lui avoir léché le sexe par derrière et de lui avoir caressé la poitrine en même temps, tout en se masturbant par intermittence, les deux protagonistes étant appuyés inconfortablement contre la baignoire. Force est de considérer cette position comme acrobatique indépendamment de la question de la pénétration. L’appelant a également fait état de ses difficultés érectiles mais le dossier a révélé que les parties avaient entretenu un rapport sexuel complet moins d’un mois avant les faits qui lui sont reprochés, ce qui permet de retenir qu’il n’est pas dans l’impossibilité d’avoir un tel rapport. La preuve par vision locale requise par l’appelant est évidemment vaine, la reconstitution abstraite apparaissant parfaitement suffisante, s’agissant de lieux dont la configuration est standard. En définitive, il n’y a aucun élément de nature à décrédibiliser la plaignante. Enfin, les motifs pour lesquels l’appelant a expliqué s’être lavé le sexe après les faits, à savoir que cela pique lorsqu’il se lubrifie avec de la salive, ne conviennent pas et cette mesure d’hygiène vient corroborer le fait qu’il y a bien eu pénétration. S’y ajoute encore le fait que l’appelant semble faire fi de l’absence de désir de son épouse, indiquant que les relations sexuelles pouvaient perdurer pendant le mariage même si les parties étaient séparées (jugement, p. 10) ou que sa femme devenait en principe douce lorsqu’il lui passait la main dans les cheveux (jugement, p. 13, 1 er par.). A cela s’ajoute, surtout et avant tout, les preuves matérielles au dossier, que l’appelant passe sous silence. Ainsi, la partie plaignante a été admise en consultation le 3 mai 2020 à 17 h 10 au Département femme-mère-enfant du CHUV. A cette occasion, le Dr R. Villarino a attesté d’une lésion superficielle d’un centimètre à la fourchette vulvaire, ainsi que de quelques érythèmes au bras droit et au bas du dos des deux côtés (annexe à la P. 4/1, déjà mentionnée). Par ailleurs, l’intimée a été suivie par l’Espace de soutien et de prévention – abus sexuels (ESPAS), à Lausanne. Le diagnostic d’état de stress post traumatique a été posé. Les symptômes sont décrits dans un rapport rédigé conjointement par la directrice Thérèse Cuttelod, par ailleurs psychothérapeute, et la psychologue-psychothérapeute Sarah Stauffer (P. 27/2). Cet avis opère une distinction explicite entre les symptômes rapportés par la plaignante et ceux qui ont été observés directement par la psychologue, à savoir, des signes de détresse physiologique et psychologique, le besoin d’une guidance pour raconter les faits à la psychologue d’urgence, des états émotionnels négatifs, des croyances négatives d’elle-même et des distorsions cognitives. Ce diagnostic est incompatible avec le scénario plaidé par le prévenu, qui, à l’audience d’appel encore, a soutenu avoir été piégé par une manœuvre de l’intimée, qui l’aurait séduit pour ensuite porter contre lui des accusations de viol et augmenter ses chances de conserver son permis de séjour (permis B) malgré la séparation, étant précisé qu’elle risquait de perdre puisque leur union n’avait pas encore duré cinq ans (cf. jugement, p. 25 in fine). C’est enfin à juste titre que le Tribunal correctionnel a retenu que H.________ avait indiqué que S.________ lui avait susurré à l’oreille pendant qu’il la pénétrait avec force qu’il était toujours son mari (jugement, p. 13). En effet, un tel détail n’a certainement pas été inventé et entre en résonance parfaite avec les propos du prévenu aux débats de première instance selon lesquels le fait d’être toujours marié permettait la poursuite de relations charnelles malgré la séparation (« la séparation ne met pas fin aux relations sexuelles » ; cf. jugement, p. 26). Par contre, au vu du scénario plaidé par la défense, à savoir un piège tendu à l’appelant par l’intimée en vue de prétendre ultérieurement au viol et obtenir un permis de séjour malgré la séparation, peu importe que la tension existant alors entre les parties ait exclu que la plaignante ait désiré sexuellement son mari à ce moment-là. Il doit bien plutôt être retenu, avec le Tribunal correctionnel, qu’une pénétration non consentie a été imposée avec violence par S.________ à son épouse d’alors, laquelle ne pouvait s’en extraire au vu de la position dans laquelle elle se trouvait et de la manière dont il l’y maintenait (cf. jugement, p. 28). Les éléments constitutifs du viol sont donc réalisés en relation avec le cas n° 8. Partant, il y a lieu de confirmer la condamnation prononcée à raison de ce chef de prévention. 7. 7.1 L’appelant conteste encore la libération de l’intimée du chef de prévention de dénonciation calomnieuse. Il rappelle que celle-ci était alors en Suisse depuis quatre ans et demi, soit à six mois d’obtenir un permis de séjour en tant qu’épouse d’un ressortissant suisse. La perte de son permis de séjour en raison de la séparation était alors, selon lui, plus qu’évidente, ce qu’elle savait. Toujours d’après l’appelant, l’un des seuls motifs qui aurait permis à son épouse d’alors de prétendre au maintien de son autorisation de séjour après une séparation était l’existence d’un motif justifiant qu’elle n’avait d’autre choix que de se séparer, soit notamment en cas de violences conjugales, singulièrement de viol. Comme il l’a soutenu à l’audience d’appel à la faveur d’une longue argumentation, l’intimée était ainsi occupée à « monter un dossier » contre lui. L’appelant tient cette version pour d’autant plus crédible que la police est intervenue seulement quelques jours après que l’intimée a appris qu’il voulait se séparer d’elle. En définitive, elle a dès lors, toujours selon lui, faussement dénoncé son mari. 7.2 L’argumentation est vaine, dès lors que la condamnation de l’appelant pour, notamment, injure, contrainte et, surtout, viol a été confirmée pour les motifs ci-dessus, auxquels il suffit dès lors de renvoyer. 8. 8.1 L’appelant conteste enfin le rejet de ses conclusions civiles en réparation des dommages causés par l’intimée à la porte de son appartement, nonobstant la condamnation de celle-ci pour dommage à la propriété. Selon lui, si le Tribunal correctionnel s’est dit convaincu que la défenderesse avait causé des dommages à la porte du bureau, alors elle devait être tenue à réparation de ce fait, même si la pièce produite à l’appui des conclusions civiles n’était qu’un devis. Le demandeur ajoute qu’il n’avait à ce jour pas pu effectuer les réparations mais que cela ne changeait rien au fait que dommage il y avait et que le coût de la réparation avait été dûment établi. 8.2 Il ressort de l'art. 122 al. 1 CPP que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 TF 6B_11/2017 du 29 août 2017 consid. 1.2 ; TF 6B_267/2016, 6B_268/2016 et 6B_269/2016 du 15 février 2017 consid. 6.1 ; TF TF 6B_486/2015 du 25 mai 2016 consid. 5.1). 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CR CPP, n. 6 ad art. 126 CPP ; Moreillon/Parein-Reymond, Code de procédure pénale, Petit commentaire, 2 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CR CPP, nn. 10-11 ad art. 126 CPP; Dolge, in : Basler Kommentar, Schweizerische Strafprozessordnung, Jugendstrafprozessordnung, 2 e éd., Bâle 2014, n. 21 ad art. 126 CPP). 8.3 Le devis produit (P. 39/7 et 81) suffit à établir la quotité du dommage allégué comme l’aurait fait une facture. Pour le reste, l’intimée n’a pas contesté sa condamnation pour dommages à la propriété (cas n° 3) à raison même des faits à l’origine des conclusions civiles. Il est dès lors possible de statuer sur ces conclusions. Les conclusions de l’appelant tendant au paiement de 624 fr. 65 doivent ainsi être admises en application de l’art. 41 CO. Le jugement sera modifié dans ce sens au chiffre XII de son dispositif. 9. 9.1 Les peines (peine privative de liberté et peine pécuniaire) ne sont pas contestées séparément. Elles seront néanmoins examinées d’office. 9.2 9.2.1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9.2.2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9.3 En l’espèce, les infractions ont été commise durant une période relativement prolongée. L’auteur n’a fait aucun cas de la dignité de son épouse d’alors et a porté atteinte à des biens juridiquement protégés divers. A l’audience d’appel encore, il n’a fait preuve d’aucun amendement. Enferré dans de vaines dénégations, il a persisté à tenter de se poser en victime en imputant un procédé machiavélique à l’intimée, qui l’aurait faussement accusé dans le dessein d’éviter la révocation de son permis de séjour du fait de la séparation du couple. On ne discerne aucun élément à décharge, même si l’on veut bien admettre que l’auteur a souffert d’une séparation à l’évidence conflictuelle et que son état de santé a pu en pâtir. L’infraction la plus grave à réprimer est celle de viol (art. 190 CP) (cas n° 8), passible d’une peine privative de liberté d’un an au moins. Ce crime doit à lui seul être réprimé par une peine privative de liberté d’une année. En application du principe de l’aggravation, cette peine doit être augmentée de neuf mois par l’effet du concours pour réprimer l’infraction de contrainte (art. 181 CP) (cas n° 6) et de trois mois pour réprimer l’infraction de lésions corporelles simples par négligence (art. 125 al. 1 CP) (cas n° 5). Enfin, la peine pécuniaire réprimant séparément l’infraction d’injure (art. 177 CP) (cas n° 7) est également adéquate.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 procédure se fonde sur les preuves administrées pendant la procédure préliminaire et la procédure de première instance (art. 389 al. 1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 2.1 ; TF 6B_197/2020 du 7 mai 2020 consid. 1.1).</w:t>
      </w:r>
    </w:p>
    <w:p>
      <w:r>
        <w:rPr>
          <w:b/>
        </w:rPr>
        <w:t>E. 3.2</w:t>
      </w:r>
    </w:p>
    <w:p>
      <w:r>
        <w:t>D’abord, les réquisitions de preuves n’ont pas été formulées en première instance, la procédure probatoire ayant été close après que les parties ont indiqué ne pas avoir de nouvelles preuves à proposer. Ensuite, les auditions de [...], au motif qu’elle connaitrait bien la plaignante, et de l’ami qui aurait hébergé l’appelant après son expulsion du logement devraient être appréciées avec une particulière circonspection en raison des liens personnels des personnes en question avec l’appelant et du fait qu’elles n’ont pas assisté aux faits litigieux. Enfin, la vision locale paraît particulièrement inadéquate s’agissant d’un viol. Les réquisitions doivent donc être rejetées par appréciation anticipée car non nécessaires à l’instruction (cf. ci-dessous, consid. 8.3).</w:t>
      </w:r>
    </w:p>
    <w:p>
      <w:r>
        <w:rPr>
          <w:b/>
        </w:rPr>
        <w:t>E. 4.1</w:t>
      </w:r>
    </w:p>
    <w:p>
      <w:r>
        <w:t>L’appelant reproche au Tribunal de police d’avoir violé la présomption d’innocence et le principe in dubio pro reo (art.</w:t>
      </w:r>
    </w:p>
    <w:p>
      <w:r>
        <w:rPr>
          <w:b/>
        </w:rPr>
        <w:t>E. 4.2</w:t>
      </w:r>
    </w:p>
    <w:p>
      <w:r>
        <w:t>L'art.</w:t>
      </w:r>
    </w:p>
    <w:p>
      <w:r>
        <w:rPr>
          <w:b/>
        </w:rPr>
        <w:t>E. 4.3</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5. En l’espèce, s’agissant du cas n° 5, les premiers juges ont retenu que l’instruction avait révélé que l’appelant avait tenté de revenir à l’appartement en pleine nuit, après l’intervention de la police quelques heures plus tôt et alors que le conflit entre les parties atteignait son paroxysme (jugement, p. 22-23). La plaignante était crédible lorsqu’elle déclarait avoir voulu l’empêcher d’entrer, ce que l’appelant ne conteste pas, dès lors qu’il a déposé plainte pour contrainte (cas n° 4). La version du prévenu, selon laquelle il venait chercher des médicaments n’est pas crédible, s’agissant de médicament d’usage courant, il n’avait pas de raison de se rendre au domicile conjugal en pleine crise pour en prendre. L’argument est en sus inconsistant, dès lors que peu importe le motif pour lesquels l’appelant s’est rendu sur place, dès lors qu’il est admis que l’accès lui avait été refusé et que la situation était tendue. Contrairement à ce que soutient la défense, le meuble que la plaignante dit avoir heurté n’est pas trop loin de la porte d’entrée pour admettre sa version, rien n’indiquant que les parties se sont affrontées à l’entrée de l’appartement. Bien au contraire, il y a une chaise derrière la porte et l’appelant doit pousser celle-ci avant de s’en prendre à sa femme. Quant à la hauteur du meuble, elle paraît parfaitement conforme avec un hématome sur le côté de la hanche (cf. les photographies sous P. 74/1). On ne comprend pas non plus l’argument selon lequel il serait du mauvais côté, dès lors qu’il n’est pas vraisemblable que, dans le dessein d’empêcher son mari d’entrer, elle lui ait tourné le dos comme le prétend l’appelant. Il est exact que rien n’indique que les taches de sang sont nécessairement le résultat d’un coup au visage qui aurait fait saigner la plaignante. Peu importe toutefois, dès lors qu’il y a un certain nombre d’autre hématomes qui démontrent que lésions corporelles il y a eu. Enfin, il est possible de saigner du nez, à la suite du coup, sans porter pour autant les traces de ce coup. Il y a ainsi lieu de confirmer la condamnation pour lésions corporelles par négligence (cas n° 5). 6.</w:t>
      </w:r>
    </w:p>
    <w:p>
      <w:r>
        <w:rPr>
          <w:b/>
        </w:rPr>
        <w:t>E. 6</w:t>
      </w:r>
    </w:p>
    <w:p>
      <w:r>
        <w:t>§ 2 CEDH, 14 § 2 Pacte ONU II, 32 al. 1 CST, 10 al. 3 CPP) en constatant de manière incomplète et erronée les faits. S’agissant du cas n° 4 (recte : n° 5) en particulier, les hématomes sur la hanche et les gouttes de sang retrouvées sont, selon lui, incompatibles avec la version de la plaignante et le Tribunal correctionnel s’est écarté totalement des faits, matériellement inconcevables, en retenant que le prévenu aurait provoqué la chute de son épouse à quelques mètres de la porte d’entrée.</w:t>
      </w:r>
    </w:p>
    <w:p>
      <w:r>
        <w:rPr>
          <w:b/>
        </w:rPr>
        <w:t>E. 6.1</w:t>
      </w:r>
    </w:p>
    <w:p>
      <w:r>
        <w:t>S’agissant du cas n° 7, l’appelant fait valoir que H.________, interrogée aux débats de première instance, a indiqué qu’en réalité elle ne se souvenait pas si l’appelant l’avait aussi traitée de « connasse » le 2 mai 2020. Toujours selon l’appelant, en vertu du principe d’accusation, on ne saurait le condamner pour des faits qui se seraient produits un autre jour. Il relève par ailleurs que, les parties étant tunisiennes et parlant en arabe, il n’avait jamais utilisé le terme de « connasse » pour injurier son épouse. La motivation du Tribunal serait dès lors insuffisante à cet égard.</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Ce principe est concrétisé par les art. 324 ss CPP qui règlent la mise en accusation, en particulier le contenu strict de l'acte d'accusation. Selon l'art. 325 CPP, l'acte d'accusation désigne notamment :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références citées ; TF 6B_44/2022 du 20 décembre 2022 consid. 5.1 et les références citées). L'acte d'accusation définit l'objet du procès et sert également à informer le prévenu (fonction de délimitation et d'information) (ATF 143 IV 63 consid. 2.2 ; ATF 141 IV 132 consid. 3.4.1 et les références citées ; TF 6B_44/2022 précité et les références citées). Il ne poursuit en revanche pas le but de justifier ni de prouver les allégations du Ministère public, qui sont discutées lors des débats. Il n’interdit pas plus à l’autorité de jugement de formuler l’état de fait avec ses propres termes, pour autant qu’ils recouvrent l’état de fait décrit dans l’acte d’accusation (TF 6B_127/2014 du 23 septembre 2014 consid. 6.3).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(TF 6B_44/2022 précité et les références citées). Est également conforme à la maxime d’accusation le fait que certains éléments constitutifs de l’infraction ne ressortent qu’implicitement de l’état de fait compris dans l’acte d’accusation, pour autant que le prévenu puisse préparer efficacement sa défense (TF 6B_397/2014 du 28 août 2014 consid. 1.2 ; Schubarth/Nuna Graa, in : CR CPP, n. 29 ad art. 325 CPP).</w:t>
      </w:r>
    </w:p>
    <w:p>
      <w:r>
        <w:rPr>
          <w:b/>
        </w:rPr>
        <w:t>E. 6.3</w:t>
      </w:r>
    </w:p>
    <w:p>
      <w:r>
        <w:t>A la suite des déclarations de la plaignante aux débats de première instance, selon lesquelles elle ne se souvenait pas avoir été injuriée par le prévenu le 2 mai 2020, le Tribunal correctionnel a retenu en substance qu’il pouvait certes y avoir une erreur sur la date mais qu’une telle inexactitude ne pouvait être considérée comme une contradiction mettant en doute leur véracité, dès lors que la plaignante s’était montrée crédible dans ses propos, lesquels étaient demeurés constants et sans exagération (jugement. p. 24). En réalité, la plaignante a déposé plainte le 3 mai 2020 et a alors indiqué avoir été traitée de « connasse » la veille. Il est évident qu’à ce moment-là, elle avait un souvenir précis de ce qui s’est passé dans les 24 heures qui précédaient et que tel n’était plus le cas le jour des débats de première instance. Cela s’explique par l’écoulement du temps, d’une part, et par le fait que l’injure n’était pas isolée, l’appelant semblant presque admettre avoir pu l’injurier un autre jour que le 2 mai 2020, d’autre part. Quant à l’argument consistant à dire que s’il y avait insulte, c’était en arabe, il n’est pas crédible, dès lors que l’instruction a révélé que le prévenu s’adressait à l’appelante aussi bien en français qu’en arabe (P. 7/1 et 7/2), les parties maîtrisant le français, comme la Cour a pu s’en convaincre à l’audience d’appel, lors de laquelle elles ont été entendues sans interprète. Il s’ensuit qu’il n’y a pas violation du principe de l’accusation en relation avec la condamnation du prévenu dans le cas n° 7. Partant, il y a lieu de confirmer la condamnation prononcée à raison du chef de prévention d’injure. 7. 7.1 L’appelant conteste que les conditions de la contrainte soient réalisées pour l’épisode du 13 avril 2020 (cas n° 6). Il soutient qu’il est erroné de prétendre que la plaignante aurait été apeurée au point de ne pas oser sortir de sa chambre. Il fait valoir qu’il n’a pas touché son épouse, ni fait usage de menaces ou de violence à son encontre. Il ajoute que l’intimée se trouvait juste dans une autre pièce et qu’il s’est contenté de taper contre la porte, comme le mentionne le rapport du CURML. Selon lui, ce geste ne revêt pas l’intensité suffisante pour être constitutif de contrainte. D’ailleurs, il était reparti spontanément et avait ultérieurement croisé la police alors qu’il était calme. Son expulsion n’a du reste pas été prononcée. Sa présence indésirée dans l’appartement n’était pas non plus constitutive de contrainte. La plaignante avait en outre déclaré que lorsqu’ils habitaient ensemble, ils faisaient chambres séparées. Elle n’avait dès lors pas été contrainte à rester dans sa chambre. 7.2 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L'art. 181 CP prévoit trois moyens de contrainte : l'usage de la violence, la menace d'un dommage sérieux ou tout autre comportement entravant la personne visée dans sa liberté d'action. Le bien juridique protégé par cette disposition est la liberté d'action, plus particulièrement la libre formation et le libre exercice de la volonté (ATF 141 IV 1 consid. 3.3.1 et les références citées). La violence consiste dans l'emploi d'une force physique à l'encontre de la victime (ATF 101 IV 42 consid. 3a p. 44). La violence doit revêtir une certaine intensité. Elle doit être de nature à entraver la victime dans sa liberté d'action (ATF 101 IV 42 consid. 3a p. 44 ; TF 6B_543/2022 du 15 février 2023 consid. 7.1).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 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La contrainte est une infraction de résultat. Pour qu'elle soit consommée, il faut que la victime, sous l'effet de moyens de contrainte illicites, commence à modifier son comportement, subissant ainsi l'influence voulue par l'auteur (TF 6B_1116/2021 du 22 juin 2022 consid. 2.1 et les réf. citées). Sur le plan subjectif, il faut que l'auteur ait agi intentionnellement, c'est-à-dire qu'il ait voulu contraindre la victime à adopter le comportement visé en étant conscient de l'illicéité de son comportement ; le dol éventuel suffit (ATF 120 IV 17 précité consid. 2c). 7.3 A cet égard, le 13 avril 2020, les époux vivaient encore sous le même toit, sans s’adresser la parole et en s’évitant le plus possible. Ils disposaient chacun d’une chambre à usage individuel et les parties communes du logement étaient utilisées par les deux conjoints. Le fait déterminant est que H.________ s’est enfermée dans sa chambre et qu’elle a appelé la police pour signaler, à voix basse, que le prévenu frappait avec insistance contre la porte en criant, l’empêchant ainsi de sortir de sa chambre. C’est alors qu’il a quitté l’appartement. Comme retenu par le Tribunal de police, quand l’appelant a quitté les lieux, il a croisé la patrouille de police et s’est rendu, calme, vers les agents, conscient qu’ils avaient été dépêchés à la suite de l’appel de l’intimée, soit « qu’ils étaient là pour lui » (cf. jugement, p. 23). Contrairement à ce que soutient l’appelant, la plaignante ne se trouvait pas juste dans une autre chambre parce que tel était le fonctionnement du couple. Bien plutôt, elle était apeurée, enfermée et a appelé la police à son secours. Force est d’en déduire qu’elle n’osait pas sortir de sa chambre, précisément en raison du comportement violent de son mari d’alors, et qu’elle a ainsi été entravée dans sa liberté d'action de ce fait. Les éléments constitutifs de la contrainte sont donc réalisés en relation avec le cas n° 6. Partant, il y a lieu de confirmer la condamnation prononcée à raison de ce chef de prévention. 8. 8.1 S’agissant de l’épisode du 3 mai 2020 (cas n° 8), l’appelant fait valoir que rien ne permettrait de départager les versions des protagonistes, irréductiblement opposées. Selon lui, l’absence d’indice permettant de trancher entre les deux versions devait conduire le Tribunal correctionnel à le libérer au bénéfice du doute. Il considère qu’il n’y avait pas d’indices en faveur de la version de la plaignante. Il ajoute qu’il n’a pas livré des versions différentes à la police et aux débats, que le couple s’était disputé, qu’ils avaient l’habitude de se réconcilier à la suite des disputes, qu’il avait caressé les cheveux de la plaignante et qu’il avait pressenti qu’elle était disposée à entretenir une relation intime. Il considère que le fait qu’il déclarait ne pas l’avoir pénétrée pour éviter tout risque de grossesse ne le discréditait pas. Toujours selon lui, le déroulement des faits tel que décrit dans l’acte d’accusation est physiquement inconcevable, ce qu’une reconstitution des faits devrait pouvoir démontrer. Pour sa part, la plaignante manquerait de crédibilité pour les motifs suivants : elle a déclaré que son époux avait pris une douche après les faits (PV 4, l. 141), alors que tel n’était pas le cas ; elle a dit ne pas connaître le numéro de la police (PV 4, l. 174), alors même qu’elle l’avait appelée ; elle a prétendu avoir payé un ordinateur, alors même que les pièces démontraient le contraire (P. 5 ; PV 4, l. 205) ; elle a allégué avoir acheté des bijoux en Suisse, alors même que ce n’était pas vrai (PV 4, l. 51) ; elle a soutenu avoir attendu le prévenu dans sa propre chambre le 10 avril 2020, alors même qu’elle était alors couchée devant la porte ; elle a dit être suivie par le prévenu, alors même qu’il n’avait plus les moyens de se déplacer faute d’avoir un véhicule (P. 6) ; elle prétend que le prévenu lui avait demandé d’arrêter de travailler et de porter le voile, alors même qu’il n’avait jamais eu un comportement d’intégriste (P. 7). Enfin, l’appelant considère que le rapport du CURML corrobore sa version des faits, à savoir qu’il n’y avait pas eu de pénétration, dès lors qu’il n’y avait des profils de mélange que sur le gland et non sous les ongles de la victime, ou dans les mains, la région pubienne, la verge ou les bourses. En définitive, toujours selon l’appelant, il ne pouvait être retenu qu’un viol avait été commis le 3 mai 2020, de sorte qu’il devrait être libéré de cette infraction. 8.2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du 20 avril 2020 consid. 2.4.1).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TF 6B_859/2022 du 6 mars 2023 consid. 1.2 ; TF 6B_367/2021 du 14 décembre 2021 consid. 2.2.1).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148 IV 234 précité ; ATF 133 IV 49 consid. 4 et l'arrêt cité ; TF 6B_859/2022 précité consid. 1.1 et les arrêts cités).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6B_1306/2017 du 17 mai 2018 consid. 2.1.2 ; TF 6B_502/2017 du 16 avril 2018 consid. 1.1 ; TF 6B_710/2012 du 3 avril 2013 consid. 3.1). Sur le plan subjectif, la contrainte sexuelle et le viol sont des infractions intentionnelles. L'auteur doit savoir que la victime n'est pas consentante ou en accepter l'éventualité (TF 6B_1499/2021 du 15 août 2022 consid.</w:t>
      </w:r>
    </w:p>
    <w:p>
      <w:r>
        <w:rPr>
          <w:b/>
        </w:rPr>
        <w:t>E. 10</w:t>
      </w:r>
    </w:p>
    <w:p>
      <w:r>
        <w:t>Vu l’issue de l’appel, l’émolument d’appel, par 3'670 fr. (art. 21 al. 1 et 2 TFIP [tarif des frais de procédure et indemnités en matière pénale du 28 septembre 2010 ; RSV 312.03.1]), sera mis par neuf dixièmes à la charge de l’appelant, qui succombe dans une large mesure sur ses conclusions (art. 428 al. 1 CPP), le solde étant laissé à la charge de l’Etat. Outre l’émolument, les frais d’appel comprennent les indemnités allouées au défenseur et conseil juridique gratuit de l’appelant, ainsi qu’au défenseur et conseil juridique gratuit de l’intimée (art. 422 al. 2 let. a CPP). L’indemnité en faveur de Me Jérémy Mas doit être arrêtée sur la base de la liste d’opérations produite à l’audience d’appel, en tenant compte, en outre, de la durée de cette audience, soit 2 heures et 45 minutes. La durée d’activité à indemniser doit ainsi être fixée à 16,33 heures, au tarif horaire de 180 francs. Aux honoraires de 1'746 fr., il convient d’ajouter des débours forfaitaires à concurrence de 2 % (art. 3 bis al. 1 RAJ [règlement du 7 décembre 2010 sur l'assistance judiciaire en matière civile ; BLV 211.02.3], applicable par renvoi de l’art. 26b TFIP). A ces honoraires bruts de 2'940 fr. doivent être ajoutées une vacation forfaitaire de 120 fr., pour l’audience d’appel, ainsi que la TVA. L’indemnité s’élève donc à 3'359 fr., débours et TVA compris. L’indemnité en faveur de Me Albert Habib doit également être arrêtée sur la base de la liste d’opérations produite à l’audience d’appel, en tenant compte, en outre, de la durée effective de cette audience, soit 2 heures et 45 minutes, la durée hypothétique indiquée à ce titre étant de 2 heures et 30 minutes seulement. L’indemnité s’élève ainsi à 2'644 fr. 45, débours et TVA compris, pour une durée d’activité de 12,72 heures, au tarif horaire de 180 fr. et compte tenu d’une vacation forfaitaire de 120 fr., pour l’audience d’appel. S.________ est tenu de rembourser les neuf dixièmes des indemnités de défenseur et de conseil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