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77 vom 10. Juli 2023</w:t>
      </w:r>
    </w:p>
    <w:p>
      <w:r>
        <w:t>VD Tribunal cantonal, 2023-07-10, FR</w:t>
      </w:r>
    </w:p>
    <w:p>
      <w:r>
        <w:rPr>
          <w:b/>
        </w:rPr>
        <w:t xml:space="preserve">Quelle: </w:t>
      </w:r>
      <w:r>
        <w:t>https://mcp.opencaselaw.ch/entscheid/vd_findinfo_Jug___2024___77</w:t>
      </w:r>
    </w:p>
    <w:p>
      <w:r>
        <w:t>FR: VD_FINDINFO Jug / 2024 / 77 du 10 juillet 2023</w:t>
      </w:r>
    </w:p>
    <w:p>
      <w:r>
        <w:t>IT: VD_FINDINFO Jug / 2024 / 77 del 10 luglio 2023</w:t>
      </w:r>
    </w:p>
    <w:p>
      <w:pPr>
        <w:pStyle w:val="Heading2"/>
      </w:pPr>
      <w:r>
        <w:t>Regeste</w:t>
      </w:r>
    </w:p>
    <w:p>
      <w:r>
        <w:t>INSOUMISSION À UNE DÉCISION DE L'AUTORITÉ, FIXATION DE LA PEINE, IN DUBIO PRO REO, LIBERTÉ DE MANIFESTATION, OPPOSITION À UN ACTE DE L'AUTORITÉ | 10 CEDH, 11 CEDH, 286 CP, 292 CP, 47 CP, 22 Cst.,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O.________ est recevable. Il en va de même de l’appel joint (art. 400 al. 3 let. b CPP).</w:t>
      </w:r>
    </w:p>
    <w:p>
      <w:r>
        <w:rPr>
          <w:b/>
        </w:rPr>
        <w:t>E. 1.1</w:t>
      </w:r>
    </w:p>
    <w:p>
      <w:r>
        <w:t>;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et les références citées). 4.2.2 Selon l'art. 292 CP, quiconque ne se conforme pas à une décision à lui signifiée, sous la menace de la peine prévue au présent article, par une autorité ou un fonctionnaire compétents est puni d’une amende.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ATF 131 IV 32 consid. 3 ; TF 6B_677/2023 du 18 octobre 2023 consid. 2.1).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ATF 122 IV 340 consid. 2 ; TF 6B_677/2023 précité).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 ATF 127 IV 119 consid. 2a ; ATF 124 IV 297 consid. II.4.d ; TF 6B_677/2023 précité). L'infraction d'insoumission à un acte de l'autorité est un délit propre pur : seul le destinataire de la décision de l'autorité peut avoir la qualité de l'auteur de l'infraction (TF 6B_677/2023 précité et les références citées). L'insoumission doit être intentionnelle. L'intention suppose la connaissance de l'injonction, de sa validité et des conséquences pénales de l'insoumission. Le dol éventuel suffit (ATF 147 IV 145 consid. 2.1 ; ATF 119 IV 238 consid. 2a). 4.3 Le premier juge a retenu que, la prévenue n'étant pas membre de l'association « F.________ », la décision rendue le 24 février 2021 par la Présidente du Tribunal civil de l'arrondissement de La Côte ne lui avait pas été notifiée personnellement et qu'il n'était pas établi qu'elle en ait eu connaissance d’une autre manière. Il n'était pas non plus établi qu'elle ait entendu les injonctions d'évacuation de la police ni que celles-ci aient été formulées d’une telle manière que leurs destinataires puissent comprendre qu’elles résultaient de la décision précitée et qu’elles étaient effectuées sous la menace de l’art. 292 CP. Cette appréciation doit être confirmée. Contrairement à ce que soutient le Ministère public, ce n'est pas parce que la décision aurait été valablement notifiée à des tiers, qu'elle serait opposable à la prévenue. Comme l'a retenu le premier juge, il n'est pas établi que la prévenue aurait pu connaître la décision judiciaire à l'origine de l'ordre d'évacuation mise en œuvre par la police. Au bénéfice du doute, il faut retenir qu’il n’est pas établi que la prévenue ait pu comprendre que les injonctions données par la police résultaient d’une décision de justice ni que ces injonctions décrivaient avec suffisamment de précision qu’une insoumission à cette décision était susceptible d'entraîner une sanction pénale. La prévenue n'est arrivée sur les lieux que dans le courant de l'après-midi (cf. P. 58/3), alors que l'opération d'évacuation avait débuté le matin. Elle a été interpellée à 16 h 30. Le fait qu'elle serait venue au préalable sur les lieux à quelques reprises n'y change rien, ni le fait qu'elle entendait protester contre l'activité de la police, protestation qui ne supposait pas nécessaire que des injonctions préalables d'évacuation aient été données par les forces de l'ordre. L'acquittement du chef de prévention d’insoumission à une décision de l’autorité doit ainsi être confirmé.</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L'appelante conteste sa condamnation. Se prévalant d’images issues de vidéo disponibles sur Internet, elle soutient qu’il serait erroné de retenir qu’elle a été arrêtée « au cœur » de la ZAD et affirme qu’elle se trouvait dans une zone où il n’y aurait eu que quelques journalistes et des policiers. Elle fait également valoir qu'elle n'a pas résisté lors de son interpellation, qu'elle a suivi les policiers dans le calme et qu'elle a uniquement voulu manifester son soutien aux « zadistes ». Elle invoque sa liberté de manifester et fait valoir que les éléments constitutifs de l'infraction à l'art. 286 CP ne seraient pas réunis.</w:t>
      </w:r>
    </w:p>
    <w:p>
      <w:r>
        <w:rPr>
          <w:b/>
        </w:rPr>
        <w:t>E. 3.2.1</w:t>
      </w:r>
    </w:p>
    <w:p>
      <w:r>
        <w:t>L'art.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contre Russie du 15 novembre 2018, § 101 ; Ezelin contre France du 26 avril 1991, § 35, série A no 202). L'art. 11 CEDH ne protège que le droit à la liberté de « réunion pacifique », notion qui ne couvre pas les manifestations dont les organisateurs et participants ont des intentions violentes (arrêts CourEDH Csiszer et Csibi contre Roumanie du</w:t>
      </w:r>
    </w:p>
    <w:p>
      <w:r>
        <w:rPr>
          <w:b/>
        </w:rPr>
        <w:t>E. 3.2.2</w:t>
      </w:r>
    </w:p>
    <w:p>
      <w:r>
        <w:t>En vertu de l'art. 286 CP, quiconque empêche une autorité, un membre d’une autorité ou un fonctionnaire de faire un acte entrant dans ses fonctions est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6B_145/2021 du 3 janvier 2022 consid. 2.1 ; TF 6B_354/2021 du 1 er novembre 2021 consid. 3.1).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Il, 3 e éd., Berne 2010, n° 13 ad art. 286 CP ; TF 6B_145/2021 précité). Selon la jurisprudence, imposer sa présence dans une salle pour empêcher une autorité d'y tenir séance constitue, par une action, une opposition aux actes de l'autorité (TF 6B_145/2021 et 6B_354/2021 précités ; ATF 107 IV 113 consid. 4).</w:t>
      </w:r>
    </w:p>
    <w:p>
      <w:r>
        <w:rPr>
          <w:b/>
        </w:rPr>
        <w:t>E. 3.3</w:t>
      </w:r>
    </w:p>
    <w:p>
      <w:r>
        <w:t>Selon le rapport de constat d’infraction établi par la Police cantonale, O.________ a été appréhendée le 30 mars 2021 seule sur le « terrain ZAD », sur le passage entre la gravière et le tripod. La police a indiqué que l’attitude de la prévenue était « passive » et « oppositionnelle » (P. 10). Le rapport d’investigation du 15 septembre 2021 indique que O.________ n’a pas donné suite aux injonctions de la police, qu’elle a été interpellée à 16 h 30 au cœur de la ZAD, qu’elle a refusé de collaborer tout en conservant une attitude passive et qu’elle a été emmenée par les premiers intervenants jusqu’à la zone d’identification (cf. P. 32 p. 2). Entendu aux débats de première instance, le témoin G.________ a confirmé que l’interpellation de la prévenue avait eu lieu sur le site de la ZAD (jugement, p. 5). Au vu de ces éléments, il est établi que l’appelante se trouvait dans une zone qui était soumise à évacuation lorsqu’elle a été interpellée, ce qu’elle ne pouvait au demeurant pas ignorer puisqu’il s’agissait précisément des raisons de sa présence sur les lieux. Si elle n’a effectivement pas opposé une résistance active lors de son arrestation, il n’en demeure pas moins, comme l’a retenu le premier juge, que la prévenue n’a pas collaboré, refusant de partir et attendant de se faire arrêter par les policiers qui ont dû l’emmener. C'est également en vain qu’elle invoque sa liberté de manifester pacifiquement, dès lors qu’il ressort de toute évidence de son attitude face à la police qu’elle a voulu démontrer sa solidarité avec les « zadistes » en se faisant arrêter. C’est du reste ce que les journalistes présents sur les lieux ont eux-mêmes compris et rapporté dans l’article dont elle se prévaut (« O.________, parmi les derniers sur la colline, cherche à se faire arrêter », « l’activiste [...] O.________ veut se faire arrêter par la police. Elle se tient debout devant les forces de l’ordre mais rien ne se passe » P. 58/3). L’appelante ne le contredit de surcroît pas (« si l’hypothèse des journalistes est juste, l’appelante réussit à se faire interpeller, interpellation qui est une manifestation de solidarité avec les Zadistes arrêtés et interpellés » P. 63/1 p. 4). En outre, il ne s'agissait pas de manifester sur la voie publique, mais dans un lieu privé et alors même que l'appelante savait que l'évacuation de ce lieu avait été ordonnée et qu'elle s'y rendait pour protester contre l'activité de la police (P. 19/1 et 58/1). Dans ces circonstances, les droits constitutionnels invoqués par l'appelante sont sans portée. En choisissant de se faire interpeller par la police, l'appelante a intentionnellement rendu la tâche des forces de l'ordre plus compliquée en ajoutant une arrestation supplémentaire à toutes celles que la police gérait déjà. Le fait qu'elle n'ait pas opposé de résistance active à son arrestation n'y change rien, car il s'agirait d'une infraction à l'art. 285 CP dans le cas contraire. Les policiers ont dû l'emmener sur la zone d'identification, alors qu'elle refusait de quitter les lieux, ce qui suffit pour retenir que l'appelante a rendu la tâche des autorités plus difficile. La condamnation de l’appelante pour empêchement d'accomplir un acte officiel doit ainsi être confirmée. 4. 4.1 Le Ministère public conteste l'acquittement dont a bénéficié la prévenue du chef de prévention d'insoumission à une décision de l'autorité. Il conteste que le jugement civil ordonnant l'évacuation de la colline du Mormont eût dû être notifié personnellement à celle-ci et qu’elle n’ait pas entendu les injonctions de la police d'évacuer les lieux. Il soutient entre autres qu’il aurait été notoire que le site de la ZAD allait être évacué à la suite d’une décision de justice et que la prévenue s’était déjà rendue auparavant sur place, de sorte qu’elle aurait eu tout loisir de discuter avec les manifestants, y compris de la situation judiciaire. O.________ fait valoir qu’elle n’a pas été une occupante des lieux et qu’il n’y aurait aucune preuve démontrant sa connaissance du jugement civil, décision dont elle n’était au demeurant pas la destinataire.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5</w:t>
      </w:r>
    </w:p>
    <w:p>
      <w:r>
        <w:t>L’appelante, qui conclut à son acquittement, ne conteste pas la peine en tant que telle. Procédant à son examen d’office, la Cour de céans considère que la peine pécuniaire de 10 jours-amende à 30 fr. le jour, avec sursis durant deux ans, a été fixée en application des critères légaux et conformément à la culpabilité et à la situation personnelle de O.________. Comme l’a considéré le premier juge, la culpabilité de la prévenue est légère. Si elle a commis une infraction contre l’autorité publique, elle n’a toutefois pas agi par intérêt personnel mais mue par son engagement en faveur de la protection du climat. Elle n’a en outre commis ni violence ni dégâts. Pour le surplus, elle n’a pas remis en cause le montant du jour-amende. La Cour fait ainsi sienne la motivation du jugement attaqué à laquelle il peut être renvoyé (p. 16 ; art. 82 al. 4 CPP). La peine prononcée par le premier juge sera ainsi confirmée.</w:t>
      </w:r>
    </w:p>
    <w:p>
      <w:r>
        <w:rPr>
          <w:b/>
        </w:rPr>
        <w:t>E. 6</w:t>
      </w:r>
    </w:p>
    <w:p>
      <w:r>
        <w:t>L’appelante conclut à ce que les frais de la procédure de première instance soient laissés à la charge de l’Etat et à ce qu’une indemnité pour ses frais de défense lui soit allouée. Dès lors que sa condamnation est confirmée, ces conclusions doivent être rejetées.</w:t>
      </w:r>
    </w:p>
    <w:p>
      <w:r>
        <w:rPr>
          <w:b/>
        </w:rPr>
        <w:t>E. 7</w:t>
      </w:r>
    </w:p>
    <w:p>
      <w:r>
        <w:t>En définitive, l’appel de O.________ et l’appel joint du Ministère public doivent être rejetés et le jugement entrepris intégralement confirmé. Vu l’issue de la cause, les frais de la procédure d’appel, constitués du seul émolument de jugement, par 1’940 fr. (art. 21 al. 1 et 2 TFIP [tarif des frais de procédure et indemnités en matière pénale du 28 septembre 2010 ; BLV 312.03.1), seront mis, par moitié, à la charge de O.________, le solde étant laissé à la charge de l’Etat (art. 428 al. 1 CPP). L’appelante, qui a procédé avec l’assistance d’un mandataire professionnel et obtenu partiellement gain de cause compte tenu du rejet de l’appel joint du Ministère public, a droit à une indemnité réduite pour les dépenses occasionnées par l’exercice raisonnable de ses droits dans le cadre de la procédure d’appel. Compte tenu de la connaissance du dossier acquise en première instance et de la nature de la cause, il convient de retenir une activité d’avocat breveté de sept heures au tarif horaire de 250 fr., audience d’appel comprise. L’indemnité à laquelle l’appelante aurait pu prétendre si elle avait obtenu entièrement gain de cause se serait élevée à 2'051 fr. 70, montant correspondant à 7 heures d’activité d’avocat au tarif horaire de 250 fr., à une vacation à 120 fr., à des débours à hauteur de 35 fr. (soit 2 % du montant des honoraires admis, cf. art. 19 al. 2 TDC [tarif des dépens en matière civile du 23 novembre 2010 ; BLV 270.11.6]) et à la TVA au taux de 7,7 %, par 146 fr. 70. Ce montant doit être réduit de moitié pour tenir compte du parallélisme entre le sort des frais et des indemnités. L’indemnité qui sera allouée à O.________ pour la procédure d’appel serai ainsi arrêtée à 1'025 fr. 85 à la charge de l’Etat. Conformément à l’art. 442 al. 4 CPP, cette indemnité sera compensée avec les frais mis à la charge de la prévenue dans le cadre des procédures de première et seconde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