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68 vom 14. September 2023</w:t>
      </w:r>
    </w:p>
    <w:p>
      <w:r>
        <w:t>VD Tribunal cantonal, 2023-09-14, FR</w:t>
      </w:r>
    </w:p>
    <w:p>
      <w:r>
        <w:rPr>
          <w:b/>
        </w:rPr>
        <w:t xml:space="preserve">Quelle: </w:t>
      </w:r>
      <w:r>
        <w:t>https://mcp.opencaselaw.ch/entscheid/vd_findinfo_Jug___2024___68</w:t>
      </w:r>
    </w:p>
    <w:p>
      <w:r>
        <w:t>FR: VD_FINDINFO Jug / 2024 / 68 du 14 septembre 2023</w:t>
      </w:r>
    </w:p>
    <w:p>
      <w:r>
        <w:t>IT: VD_FINDINFO Jug / 2024 / 68 del 14 settembre 2023</w:t>
      </w:r>
    </w:p>
    <w:p>
      <w:pPr>
        <w:pStyle w:val="Heading2"/>
      </w:pPr>
      <w:r>
        <w:t>Regeste</w:t>
      </w:r>
    </w:p>
    <w:p>
      <w:r>
        <w:t>LOI FÉDÉRALE SUR LA CIRCULATION ROUTIÈRE, ORDONNANCE SUR LES RÈGLES DE LA CIRCULATION ROUTIÈRE, RECOURS JOINT | 90 al. 2 LCR, 4a al. 2 OCR</w:t>
      </w:r>
    </w:p>
    <w:p>
      <w:pPr>
        <w:pStyle w:val="Heading2"/>
      </w:pPr>
      <w:r>
        <w:t>Erwägungen</w:t>
      </w:r>
    </w:p>
    <w:p>
      <w:r>
        <w:rPr>
          <w:b/>
        </w:rPr>
        <w:t>E. 1.1</w:t>
      </w:r>
    </w:p>
    <w:p>
      <w:r>
        <w:t>Interjetés dans les formes et délais légaux (art. 385 et 399 CPP), par des parties ayant qualité pour recourir (art. 382 al. 1 CPP) contre le jugement d’un tribunal de première instance qui a clos la procédure (art. 398 al. 1 CPP), l’appel principal et l’appel joint sont recevables.</w:t>
      </w:r>
    </w:p>
    <w:p>
      <w:r>
        <w:rPr>
          <w:b/>
        </w:rPr>
        <w:t>E. 1.2</w:t>
      </w:r>
    </w:p>
    <w:p>
      <w:r>
        <w:t>L’appel est traité en procédure écrite dès lors qu’il est dirigé contre un jugement rendu par un juge unique, que la présence du prévenu aux débats d’appel n’est pas indispensable et que les parties y ont consenti (art. 406 al. 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3.1</w:t>
      </w:r>
    </w:p>
    <w:p>
      <w:r>
        <w:t>L’appelant considère le jugement entrepris incohérent. Il relève tout d’abord que l’énoncé du dispositif du jugement mentionne l’application de l’art. 90 al. 1 LCR, qui s’applique aux violations simples des règles de la circulation routière, alors que le chiffre II du dispositif retient qu’il s’est rendu coupable de « violation grave des règles de la circulation routière ». L’appelant souligne également que le chiffre IV du dispositif n’indique pas qui doit s’acquitter des frais de procédure. Dans son appel joint, le Ministère public relève également la contradiction relative à l’art. 90 LCR dans le dispositif du jugement. Il soutient qu’il y aurait lieu de réformer l’énoncé du dispositif afin que celui-ci fasse mention de l’art. 90 al. 2 LCR en lieu et place de l’art. 90 al. 1 LCR.</w:t>
      </w:r>
    </w:p>
    <w:p>
      <w:r>
        <w:rPr>
          <w:b/>
        </w:rPr>
        <w:t>E. 3.2</w:t>
      </w:r>
    </w:p>
    <w:p>
      <w:r>
        <w:t>En l’espèce, s’agissant de la contradiction relative à l’art. 90 LCR, la motivation du jugement entrepris prévoit que l’appelant doit être reconnu coupable de « violation grave des règles de la circulation routière au sens de l’article 90 al. 2 LCR » (jugement attaqué, consid. 3). En outre, le chiffre II du dispositif du jugement dit également que l’appelant s’est rendu coupable de « violation grave des règles de la circulation routière ». Ainsi, la mention de l’art. 90 al. 1 LCR dans l’énoncé du dispositif constitue une erreur manifeste. Dans la mesure où la condamnation de l’appelant pour violation grave des règles de la circulation routière doit être confirmée pour les raisons qui seront développées plus bas, il y a lieu de rectifier d’office cette erreur (art. 83 al. 1 CPP). L’appel joint du Ministère public, qui porte uniquement sur ce point, doit, à toutes fins utiles, être admis, si la contradiction ne devait pas être considérée comme une erreur manifeste. Pour ce qui est du chiffre IV du dispositif du jugement attaqué, il s’agit d’un simple oubli, qui a d’ailleurs fait l’objet d’un prononcé rectificatif le 27 septembre 2023. De plus, la motivation du jugement précise : « [s]uccombant à l’action pénale V.________ supportera l’entier des frais de la cause » (jugement attaqué, consid. 5). Il ne pouvait ainsi y avoir de doute sur le sort des frais de la cause. Les erreurs soulevées par l’appelant ne sont pas de nature à entraîner l’annulation du jugement attaqué.</w:t>
      </w:r>
    </w:p>
    <w:p>
      <w:r>
        <w:rPr>
          <w:b/>
        </w:rPr>
        <w:t>E. 4.1</w:t>
      </w:r>
    </w:p>
    <w:p>
      <w:r>
        <w:t>L’appelant soutient que le jugement entrepris serait lacunaire. Il existerait un doute sur la vitesse à laquelle il circulait au moment des faits, le rapport de police du 1 er septembre 2023 n’ayant selon lui pas de valeur probante.</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14 par. 2 Pacte ONU II (Pacte international relatif aux droits civils et politiques du 16 décembre 1966 ; RS 0.103.2) et 6 par. 2 CEDH (Convention de sauvegarde des droits de l’homme et des libertés fondamentales du 4 novembre 1950 ; RS 0.101),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ATF 146 IV 88 consid. 1.3.1 ; TF 6B_48/2023 du 19 janvier 2024 consid. 1.1.2).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Jeanneret/Kuhn/Perrier Depeursinge [éd.], Commentaire romand, Code de procédure pénale suisse [ci-après : CR CPP], 2 e éd., Bâle 2019, n. 34 ad art. 10 CPP).</w:t>
      </w:r>
    </w:p>
    <w:p>
      <w:r>
        <w:rPr>
          <w:b/>
        </w:rPr>
        <w:t>E. 4.3</w:t>
      </w:r>
    </w:p>
    <w:p>
      <w:r>
        <w:t>En l’espèce, l’appelant n’explique pas pour quelle raison il estime que le rapport de police du 1 er septembre 2023 n’aurait pas de valeur probante. Ce rapport émane du bureau du radar, qui dispose à l’évidence des compétences nécessaires pour attester de la façon dont fonctionne le système de contrôle de vitesse. En l’occurrence, le rapport indique que le système tronque les valeurs après la virgule en faveur du conducteur, soit en les arrondissant vers le bas. L’appareil de mesure a indiqué une vitesse nette, marge de sécurité déduite, de 85 km/h. C’est donc à bon droit que le tribunal de police a considéré qu’il pouvait être retenu que l’appelant avait dépassé de 25 km/h la limitation de vitesse. Il n’y a pas eu de lacune dans l’appréciation des preuves.</w:t>
      </w:r>
    </w:p>
    <w:p>
      <w:r>
        <w:rPr>
          <w:b/>
        </w:rPr>
        <w:t>E. 4.30</w:t>
      </w:r>
    </w:p>
    <w:p>
      <w:r>
        <w:t>(Bussy/Rusconi et al., Code suisse de la circulation routière, 4 e éd., Bâle 2015, n. 3.1 ad art. 1 OSR). Aux termes de l’art. 50 al. 4 OSR, les signaux « Début de localité sur route principale » ou « Début de localité sur route secondaire » seront placés là où commence la zone d’habitations dispersées ; ils ne doivent pas être placés après le signal indiquant le début de la limitation générale de vitesse à l’intérieur des localités. Selon l’art. 4a al. 2 OCR (Ordonnance sur les règles de la circulation routière du 13 novembre 1962 ; RS 741.11), la limitation générale de vitesse à 50 km/h s’applique dans toute la zone bâtie de façon compacte à l’intérieur de la localité ; cette limitation commence au signal « Vitesse maximale 50, Limite générale » (2.30.1) et se termine au signal « Fin de la vitesse maximale 50, Limite générale » (2.53.1). L’art. 22 al. 3 OSR précise que le début de la limitation générale de vitesse à 50 km/h (art. 4a, al. 1, let. a, OCR) sera annoncé par le signal « Vitesse maximale 50, Limite générale » (2.30.1) dès qu’il existe une zone bâtie de façon compacte sur l’un des deux côtés de la route. La fin de la limitation générale de vitesse à 50 km/h sera indiquée par le signal « Fin de la vitesse maximale 50, Limite générale » (2.53.1) ; ce signal sera placé à partir de l’endroit où ni l’un ni l’autre des côtés de la route n’est bâti d’une façon compacte.</w:t>
      </w:r>
    </w:p>
    <w:p>
      <w:r>
        <w:rPr>
          <w:b/>
        </w:rPr>
        <w:t>E. 5.1</w:t>
      </w:r>
    </w:p>
    <w:p>
      <w:r>
        <w:t>Le recourant conteste s’être trouvé dans une localité au moment de son excès de vitesse. Il invoque que la limitation générale de vitesse est de 50 km/h dans les localités, ainsi le tronçon sur lequel il circulait, limité à 60 km/h, ne pourrait pas se trouver dans une localité. La jurisprudence du Tribunal fédéral retenant qu’un dépassement de 25 km/h hors localité constitue une faute légère, il considère que seul l’art. 90 al. 1 LCR pourrait trouver application.</w:t>
      </w:r>
    </w:p>
    <w:p>
      <w:r>
        <w:rPr>
          <w:b/>
        </w:rPr>
        <w:t>E. 5.2.1</w:t>
      </w:r>
    </w:p>
    <w:p>
      <w:r>
        <w:t>A teneur de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est objectivement grave, plus on admettra l'existence d'une absence de scrupule, sauf indice particulier permettant de retenir le contraire (ATF 142 IV 93 consid. 3.1 ; TF 6B_254/2023 du 12 juillet 2023 consid. 4.2). Dans le domaine des excès de vitesse, la jurisprudence a été amenée à fixer des règles précises afin d'assurer l'égalité de traitement. Ainsi, les éléments objectif - et en principe subjectif - du cas grave au sens de l'art.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et les références citées ; TF 6B_734/2023 du 20 octobre 2023 ; TF 6B_254/2023 précité consid. 4.3).</w:t>
      </w:r>
    </w:p>
    <w:p>
      <w:r>
        <w:rPr>
          <w:b/>
        </w:rPr>
        <w:t>E. 5.2.2</w:t>
      </w:r>
    </w:p>
    <w:p>
      <w:r>
        <w:t>En application de l’art. 1 al. 4 OSR (Ordonnance sur la signalisation routière du 5 septembre 1979 ; RS 741.21), l’expression « à l’intérieur des localités » ou « dans les localités » désigne une zone qui commence au signal « Début de localité sur route principale » (4.27) ou « Début de localité sur route secondaire » (4.29) et se termine au signal « Fin de localité sur route principale » (4.28) ou « Fin de localité sur route secondaire » (4.30). L’expression « à l’extérieur des localités » ou « hors des localités » désigne une zone qui commence au signal « Fin de localité sur route principale » ou « Fin de localité sur route secondaire » et se termine au signal « Début de localité sur route principale » ou « Début de localité sur route secondaire ». En principe, la localité est l’espace compris entre les signaux « Début de localité », n° 4.27 et 4.29, et les signaux « Fin de localité », n° 4.28 et</w:t>
      </w:r>
    </w:p>
    <w:p>
      <w:r>
        <w:rPr>
          <w:b/>
        </w:rPr>
        <w:t>E. 5.3</w:t>
      </w:r>
    </w:p>
    <w:p>
      <w:r>
        <w:t>En l’espèce, la notion de localité ne dépend pas de la limite générale de vitesse à 50 km/h, mais de l’emplacement du panneau indiquant le début de la localité. Alors que la limitation générale de vitesse à 50 km/h doit commencer dès qu’il existe une « zone bâtie de façon compacte sur l’un des deux côtés de la route » (cf. art. 22 al. 3 OSR), le panneau de début de localité doit être placé là où commence la « zone d’habitations dispersées » (cf. art. 50 al. 4 OSR). Sur les photographies prises par le radar, on peut apercevoir en arrière-plan le panneau de sortie de localité, que l’appelant n’a pas encore dépassé. En outre, les images provenant de Google Maps annexées à l’audition de l’appelant du 28 mars 2023, démontrent que des villas et un collège bordent l’un des côtés de la route. Ceci constitue à tout le moins une « zone d’habitations dispersées ». Ainsi, l’appelant se trouvait à l’évidence dans une localité au moment du contrôle de vitesse. En application de la jurisprudence du Tribunal fédéral, l’appelant ayant circulé à 25 km/h au-dessus de la vitesse autorisée alors qu’il se trouvait à l’intérieur d’une localité, les conditions d’application de l’art. 90 al. 2 LCR sont en principe réalisés. L’appelant ne bénéficie pas de circonstances exceptionnelles qui justifieraient de s’écarter de cette jurisprudence. Au contraire, la présence d’un arrêt de bus à l’endroit où le contrôle a eu lieu aurait dû l’inciter à faire preuve de plus de prudence. Sur le plan subjectif, l’appelant, qui a suivi un cours d’éducation à la vitesse le 3 mai 2022, était à tout le moins conscient d’adopter un comportement dangereux, violant gravement les règles de la circulation routière, et s’en est accommodé. L’appelant s’est ainsi bien rendu coupable de violation grave des règles de la circulation routière au sens de l’art. 90 al. 2 LCR.</w:t>
      </w:r>
    </w:p>
    <w:p>
      <w:r>
        <w:rPr>
          <w:b/>
        </w:rPr>
        <w:t>E. 6.1</w:t>
      </w:r>
    </w:p>
    <w:p>
      <w:r>
        <w:t>L’appelant, qui plaide sa condamnation pour infraction simple aux règles de la circulation routière, requiert de se voir uniquement infliger une amende de 400 francs.</w:t>
      </w:r>
    </w:p>
    <w:p>
      <w:r>
        <w:rPr>
          <w:b/>
        </w:rPr>
        <w:t>E. 6.2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A teneur de l'art. 42 al. 1 CP, le juge suspend en règle générale l'exécution d'une peine pécuniaire ou d'une peine privative de liberté de deux ans au plus lorsqu'une peine ferme ne paraît pas nécessaire pour détourner l'auteur d'autres crimes ou délits.</w:t>
      </w:r>
    </w:p>
    <w:p>
      <w:r>
        <w:rPr>
          <w:b/>
        </w:rPr>
        <w:t>E. 6.3</w:t>
      </w:r>
    </w:p>
    <w:p>
      <w:r>
        <w:t>La culpabilité de l’appelant n’est pas négligeable. Il a déjà fait l’objet de sept sanctions administratives en raison d’excès de vitesse répétés. En outre, le cours d’éducation à la vitesse qu’il a été contraint de suivre le 23 mai 2022 ne semble pas avoir eu d’effet sur lui, puisqu’il a été contrôlé à deux reprises en excès de vitesse depuis lors. Une peine de 20 jours-amende est adaptée à la culpabilité de l’appelant. Le montant de 150 fr. le jour-amende est approprié à sa situation financière. Même si l’appelant a de multiples antécédents en matière d’excès de vitesse, son casier judiciaire est vierge de toute inscription. Le risque de récidive doit donc être qualifié de faible. Il convient d’assortir la peine du sursis avec un délai d’épreuve de deux ans. L’amende de 750 fr. prononcée à titre de sanction immédiate peut être confirmée pour des raisons de prévention spéciale (cf. art. 42 al. 4 CP).</w:t>
      </w:r>
    </w:p>
    <w:p>
      <w:r>
        <w:rPr>
          <w:b/>
        </w:rPr>
        <w:t>E. 7</w:t>
      </w:r>
    </w:p>
    <w:p>
      <w:r>
        <w:t>En définitive, l’appel de V.________ doit être rejeté. L’appel joint du Ministère public doit quant à lui être admis, en ce sens que l’art. 90 al. 2 LCR remplace l’art. 90 al. 1 LCR dans l’énoncé du dispositif du jugement du 27 septembre 2023. Le jugement doit être confirmé pour le surplus. Vu l’issue de la cause, les frais d’appel, constitués du seul émolument de jugement, par 1’320 fr. (art. 21 al. 1 TFIP [Tarif des frais de procédure et indemnités en matière pénale du 28 septembre 2010 ; RS 312.03.1]), seront mis à la charge de V.________, qui succombe intégralement (art. 428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