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62 vom 6. Oktober 2023</w:t>
      </w:r>
    </w:p>
    <w:p>
      <w:r>
        <w:t>VD Tribunal cantonal, 2023-10-06, FR</w:t>
      </w:r>
    </w:p>
    <w:p>
      <w:r>
        <w:rPr>
          <w:b/>
        </w:rPr>
        <w:t xml:space="preserve">Quelle: </w:t>
      </w:r>
      <w:r>
        <w:t>https://mcp.opencaselaw.ch/entscheid/vd_findinfo_Jug___2024___62</w:t>
      </w:r>
    </w:p>
    <w:p>
      <w:r>
        <w:t>FR: VD_FINDINFO Jug / 2024 / 62 du 6 octobre 2023</w:t>
      </w:r>
    </w:p>
    <w:p>
      <w:r>
        <w:t>IT: VD_FINDINFO Jug / 2024 / 62 del 6 ottobre 2023</w:t>
      </w:r>
    </w:p>
    <w:p>
      <w:pPr>
        <w:pStyle w:val="Heading2"/>
      </w:pPr>
      <w:r>
        <w:t>Regeste</w:t>
      </w:r>
    </w:p>
    <w:p>
      <w:r>
        <w:t>LIBÉRATION CONDITIONNELLE, RÉVOCATION{EN GÉNÉRAL}, CONCOURS D'INFRACTIONS | 49 CP, 89 CP, 95 al. 1 let. b LCR, 115 al. 1 let. b LEI</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3.1</w:t>
      </w:r>
    </w:p>
    <w:p>
      <w:r>
        <w:t>; TF 6B_776/2019 du 20 novembre 2019 consid. 4.1).</w:t>
      </w:r>
    </w:p>
    <w:p>
      <w:r>
        <w:rPr>
          <w:b/>
        </w:rPr>
        <w:t>E. 3.2.1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w:t>
      </w:r>
    </w:p>
    <w:p>
      <w:r>
        <w:rPr>
          <w:b/>
        </w:rPr>
        <w:t>E. 3.2.2</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147 IV 241 consid. 3.2 et les réf. citées ; ATF 144 IV 313 consid. 1.1.1 et les réf. citées ; TF 6B_1398/2022 du 12 mai 2023 consid. 2.1).</w:t>
      </w:r>
    </w:p>
    <w:p>
      <w:r>
        <w:rPr>
          <w:b/>
        </w:rPr>
        <w:t>E. 3.2.3</w:t>
      </w:r>
    </w:p>
    <w:p>
      <w:r>
        <w:t>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1 re phr., CP). Il peut adresser un avertissement au condamné et prolonger le délai d’épreuve de la moitié au plus de la durée fixée à l’origine par l’autorité compétente (art. 89 al. 2, 2e phrase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admettre que le détenu ne commettra pas de nouvelles infractions (TF 6B_623/2017 du 28 novembre 2017 consid. 2.1 ; TF 6B_1085/2013 du 22 octobre 2014 consid. 4.2.1 ; TF 6B_1034/2013 du 31 mars 2014 consid. 2.1 et les réf. citées ; TF 6B_663/2009 du 19 octobre 2009 consid. 1.2 ; TF 6B_303/2007 du 6 décembre 2007 consid. 6 ; cf. ATF 98 Ib 106 consid. 1b).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(TF 6B_663/2009 précité). Selon l’art. 89 al. 6, 1 re phr., CP, si, en raison d’une nouvelle infraction, les conditions d’une peine privative de liberté ferme sont réunies et que celle-ci entre en concours avec le solde d’une peine devenu exécutoire à la suite de la révocation de la libération conditionnelle, le juge prononce, en vertu de l’art. 49 CP, une peine d’ensemble. Le juge ne doit pas se contenter de cumuler les deux peines (Dupuis et al. [éd.], Petit commentaire du Code pénal, 2 e éd., Bâle 2017, n. 13 ad art. 89 CP).</w:t>
      </w:r>
    </w:p>
    <w:p>
      <w:r>
        <w:rPr>
          <w:b/>
        </w:rPr>
        <w:t>E. 3.2.4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précité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w:t>
      </w:r>
    </w:p>
    <w:p>
      <w:r>
        <w:rPr>
          <w:b/>
        </w:rPr>
        <w:t>E. 3.2.5</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(ATF 134 IV I consid. 4.2.2 ; TF 6B_492/2008 du 19 mai 2009 consid. 3.1.2).</w:t>
      </w:r>
    </w:p>
    <w:p>
      <w:r>
        <w:rPr>
          <w:b/>
        </w:rPr>
        <w:t>E. 3.3</w:t>
      </w:r>
    </w:p>
    <w:p>
      <w:r>
        <w:t>A l’instar du tribunal, il est retenu que la culpabilité du prévenu est importante. En effet, il a déjà été condamné à de nombreuses reprises pour des faits similaires, mais il n’a pas hésité, alors qu’il faisait l’objet d’une interdiction d’entrée sur le territoire helvétique depuis le mois de juillet 2020, à revenir en Suisse, moins d’une année après son départ, soit en février 2021. Pour justifier son retour en Suisse, le prévenu se prévaut d’un futur mariage, pour lequel une procédure préparatoire est pendante. Toutefois, l’éventuel prochain mariage, ainsi que la possible obtention d’un permis de séjour, ne changent rien quant à la culpabilité de l’intéressé. En effet, il a fait la connaissance de sa compagne en 2017 déjà et n’a toujours pas régularisé sa situation, persistant ainsi à violer la LEI, et ce malgré les précédentes condamnations. S’agissant de la conduite sans autorisation, le prévenu n’a aucune excuse valable, ses antécédents ne plaidant d’ailleurs pas en sa faveur. A décharge, il sera retenu que l’appelant est entré en Suisse en 2005 et qu’il réside dans notre pays, moyennant quelques interruptions, depuis environ 18 ans, pays dans lequel il semble avoir travaillé de manière régulière. De plus, sa relation avec G.________ semble sérieuse, le couple se connaissant depuis 2017, selon les déclarations de Q.________. Compte tenu de ce qui précède et pour des motifs de prévention spéciale, seule une peine privative de liberté ferme peut sanctionner les infractions commises par le prévenu, celui-ci ayant déjà six inscriptions à son casier judiciaire. Les précédentes sanctions, pécuniaires ou privatives de liberté, même fermes, n’ont eu aucun effet sur lui. De plus, le prévenu n’a pas d’autorisation de séjour en Suisse, ni de travail dans ce pays, de sorte qu’il n’est pas en mesure de réaliser un salaire qui lui permettrait de régler une peine pécuniaire. Quant à la libération conditionnelle accordée au prévenu le 3 juin 2020, celle-ci doit être révoquée, l’appelant ayant récidivé durant le délai d’épreuve d’un an qui lui avait été fixé. A cela s’ajoute que, dans le cas particulier, il n’a pas seulement violé la LEI mais également la LCR. Le pronostic est ainsi défavorable, en raison de ses antécédents, et il est ainsi à craindre qu’il ne commette de nouvelles infractions, n’ayant d’ailleurs toujours pas obtenu de permis de séjour et de travail. Sur la base de ce qui précède, l’infraction de conduite d’un véhicule automobile malgré le refus, le retrait ou l’interdiction de l’usage du permis, qui constitue l’infraction principale, doit être réprimée par une peine privative de liberté de 5 mois. Conformément au principe d’aggravation découlant du concours d’infractions, cette peine sera majorée de 3 mois pour l’infraction à la Loi fédérale sur les étrangers et l’intégration. En tenant compte de la révocation de la libération conditionnelle, dont le solde de peine s’élevait à 4 mois et 18 jours, la peine d’ensemble de 10 mois prononcée par le tribunal est adéquate et doit être confirmée.</w:t>
      </w:r>
    </w:p>
    <w:p>
      <w:r>
        <w:rPr>
          <w:b/>
        </w:rPr>
        <w:t>E. 4</w:t>
      </w:r>
    </w:p>
    <w:p>
      <w:r>
        <w:t>En définitive, l’appel doit être rejeté et le jugement entrepris confirmé. Vu l’issue de la cause, les frais de la procédure d’appel, constitués de l’émoluments de jugement et d’audience, par 1’500 fr. (art. 21 al. 1 et 2 TFIP [tarif des frais de procédure et indemnités en matière pénale du 28 septembre 2010 ; BLV 312.03.1]), seront mis à la charge de Q.________, qui succombe (art. 428 al. 1 CPP). Pour ce motif également, il n’y a pas lieu de lui allouer une indemnité pour les dépenses occasionnées par ses droits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