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553 vom 1. Januar 2021</w:t>
      </w:r>
    </w:p>
    <w:p>
      <w:r>
        <w:t>VD Tribunal cantonal, 2021-01-01, FR</w:t>
      </w:r>
    </w:p>
    <w:p>
      <w:r>
        <w:rPr>
          <w:b/>
        </w:rPr>
        <w:t xml:space="preserve">Quelle: </w:t>
      </w:r>
      <w:r>
        <w:t>https://mcp.opencaselaw.ch/entscheid/vd_findinfo_Jug___2024___553</w:t>
      </w:r>
    </w:p>
    <w:p>
      <w:r>
        <w:t>FR: VD_FINDINFO Jug / 2024 / 553 du 1 janvier 2021</w:t>
      </w:r>
    </w:p>
    <w:p>
      <w:r>
        <w:t>IT: VD_FINDINFO Jug / 2024 / 553 del 1 gennaio 2021</w:t>
      </w:r>
    </w:p>
    <w:p>
      <w:pPr>
        <w:pStyle w:val="Heading2"/>
      </w:pPr>
      <w:r>
        <w:t>Regeste</w:t>
      </w:r>
    </w:p>
    <w:p>
      <w:r>
        <w:t>RESPONSABILITÉ DE L'EMPLOYEUR{AVS}, CERTIFICAT DE TRAVAIL, TORT MORAL, HARCÈLEMENT PSYCHOLOGIQUE | 28 CO, 328 CO, 330a al. 1 CO, 47 LPers-VD, 5 al. 3 LPers-VD</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la demanderesse a été liée par un contrat de travail avec l’Etat de Vaud, défendeur, représenté par le CHUV. Il ne fait aucun doute que les relations de travail qui lient les parties sont soumises à l’application de la LPers-VD. Ainsi, le présent litige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al. 5 LPers-VD).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