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545 vom 14. Januar 2022</w:t>
      </w:r>
    </w:p>
    <w:p>
      <w:r>
        <w:t>VD Tribunal cantonal, 2022-01-14, FR</w:t>
      </w:r>
    </w:p>
    <w:p>
      <w:r>
        <w:rPr>
          <w:b/>
        </w:rPr>
        <w:t xml:space="preserve">Quelle: </w:t>
      </w:r>
      <w:r>
        <w:t>https://mcp.opencaselaw.ch/entscheid/vd_findinfo_Jug___2024___545</w:t>
      </w:r>
    </w:p>
    <w:p>
      <w:r>
        <w:t>FR: VD_FINDINFO Jug / 2024 / 545 du 14 janvier 2022</w:t>
      </w:r>
    </w:p>
    <w:p>
      <w:r>
        <w:t>IT: VD_FINDINFO Jug / 2024 / 545 del 14 gennaio 2022</w:t>
      </w:r>
    </w:p>
    <w:p>
      <w:pPr>
        <w:pStyle w:val="Heading2"/>
      </w:pPr>
      <w:r>
        <w:t>Regeste</w:t>
      </w:r>
    </w:p>
    <w:p>
      <w:r>
        <w:t>TRIBUNAL FÉDÉRAL, INTERDICTION DE L'ARBITRAIRE, ADMISSION DE LA DEMANDE, ACQUITTEMENT, DISPOSITIONS PÉNALES DE LA LCR | 9 Cst., 97 LCR</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148 I 127 consid. 3.1 p. 131 ; ATF 143 IV 214 consid. 5.2.1 p. 220 ; ATF 131 III 91 consid. 5.2 ; TF 7B_444/2023 du 16 juillet 2024 consid. 2.1 ; TF 6B_282/2022 du 13 janvier 2023 consid. 1.1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w:t>
      </w:r>
    </w:p>
    <w:p>
      <w:r>
        <w:rPr>
          <w:b/>
        </w:rPr>
        <w:t>E. 2.1</w:t>
      </w:r>
    </w:p>
    <w:p>
      <w:r>
        <w:t>Dans son arrêt de renvoi, le Tribunal fédéral a en particulier considéré ce qui suit : « 1.5.1 S'agissant du comportement reproché au recourant, la cour cantonale ne fait aucune référence aux documents ou formulaires remplis par ce dernier pour obtenir l'immatriculation de chaque véhicule, respectivement aux attestations fournies dans cette procédure. Faute d'appréciation d'un formulaire préétabli, le comportement exact reproché au recourant ne peut être établi avec précision. 1.5.2. Néanmoins, la cour cantonale a retenu que le recourant avait donné des renseignements inexacts sur le véritable détenteur des véhicules. Au vu du raisonnement cantonal, il convient dans un premier temps de définir qui, du recourant et des conducteurs des six véhicules en cause, en était détenteur. Pour ce faire, et à la lumière de la définition déduite de l'OAC et de la jurisprudence (cf. supra consid. 1.3.2), le cas d'espèce nécessite de déterminer qui, d'une part, possédait effectivement et durablement le pouvoir de disposer des véhicules, et d'autre part, les utilisait ou les faisait utiliser à ses frais et à ses risques, ou dans son propre intérêt. Avec le recourant, il convient de relever que la cour cantonale ne remet pas expressément en cause l'existence des contrats de location avec les personnes domiciliées à l'étranger. Si, dans la partie en fait, elle retient que le recourant achetait fictivement un véhicule à son propriétaire et le louait à la même personne le jour-même ou le lendemain après l'avoir fait immatriculer, la cour cantonale n'explique pas les motifs pour lesquels les contrats de vente initiaux seraient fictifs, condition nécessaire à l'examen de l'existence de contrats de location valables. Alors qu'elle retient, en fait, que la société dont le recourant est associé-gérant a notamment pour but la location de véhicules, dans son analyse juridique, elle semble laisser la question de la location dans le cas d'espèce ouverte, précisant que celle-ci n'est pas en soi problématique. Elle retient néanmoins qu'au terme de la "belle saison", le recourant s'est débarrassé des voitures et qu'il n'a pas continué à les louer. Ce faisant, la cour cantonale ne détermine pas les rapports contractuels existants dans les six complexes de faits retenus et ne précise pas, cas échéant, quelles durées de location respectives elle tiendrait pour établies (cf. s'agissant de l'impact de la durée de la location sur la qualité de détenteur supra consid. 1.3.3). En outre, si le jugement cantonal précise que les véhicules étaient loués entre 400 fr. et 600 fr. par mois, il ne contient aucune indication sur la nature et le montant des frais et taxes, dont il est considéré que le paiement aurait été effectué par les locataires, au moyen des frais de location. Ainsi, le jugement cantonal ne permet pas de savoir si et pour quels motifs, les contrats de vente et de location auraient été fictifs ou simulés (cf. sur la notion de simulation, notamment arrêt 4A_287/2021 du 7 juin 2022 consid. 6.2), respectivement dans quelle mesure le recourant était lié contractuellement aux différentes personnes ayant utilisé les véhicules en cause. Pourtant, l'ensemble de ces aspects est nécessaire pour déterminer qui était le détenteur des différents véhicules. Sans ces éléments, la qualité de détenteur ne peut être examinée. 1.5.3. Dans l'hypothèse où les "locataires" de chaque véhicule étaient détenteurs, il conviendrait alors d'examiner si une codétention entrait en ligne de compte (cf. supra consid. 1.3.3), respectivement si le recourant était inscrit comme détenteur dans le permis de circulation en tant que personne responsable au sens de l'art. 78 al. 1bis OAC. Puis, se poserait la question de savoir si, respectivement, dans quelles circonstances, l'indication erronée de l'identité du détenteur pour l'obtention du permis de circulation et de plaques, peut réaliser les conditions de l'art. 97 al. 1 let. d LCR, au vu notamment du bien juridique protégé par cette disposition. À cet égard, on ignore quelles indications le recourant a fournies au SAN en vue de la délivrance des permis de circulation et des plaques de contrôle, les demandes d'immatriculation ne figurant pas au dossier (jugement entrepris consid. 3.3.3 p. 12). En outre, le jugement cantonal ne précise pas quels genres de permis de circulation ont été demandés (cf. art. 73 OAC), quelle était la procédure de délivrance selon la provenance de chaque véhicule (cf. art. 74 OAC), respectivement si le recourant devait être qualifié de loueur de véhicules au sens de l'art. 70 OAC (cf. supra consid. 1.3.1 et 1.3.4). Enfin, l'éventuel rôle causal de l'indication inexacte du détenteur dans l'obtention frauduleuse de permis de circulation et des plaques d'immatriculation n'a pas été examiné. Sans ces éléments, la question de savoir si, respectivement, à quelles conditions, la demande formulée par un "détenteur de paille" pour l'obtention d'un permis de circulation suffit à réaliser l'infraction prévue à l'art. 97 al. 1 let. d LCR, ne peut être résolue. 1.5.4. Il résulte de ce qui précède que le Tribunal fédéral n'est pas en mesure de statuer sur le fond de la cause, de sorte que celle-ci doit être renvoyée à la cour cantonale pour nouvelle décision sur les points déterminants ».</w:t>
      </w:r>
    </w:p>
    <w:p>
      <w:r>
        <w:rPr>
          <w:b/>
        </w:rPr>
        <w:t>E. 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CR CPP, op. cit.,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w:t>
      </w:r>
    </w:p>
    <w:p>
      <w:r>
        <w:rPr>
          <w:b/>
        </w:rPr>
        <w:t>E. 2.3</w:t>
      </w:r>
    </w:p>
    <w:p>
      <w:r>
        <w:t>Il découle de l’arrêt de renvoi que l’instruction devrait être complétée sur de nombreux points. Or si la Cour de céans est susceptible d’obtenir certaines informations, notamment les formulaires ou les permis de circulation, auprès du SAN, force est d’admettre qu’il lui est impossible d’en obtenir d’autres, les faits étant anciens et les locataires n’étant manifestement plus atteignables. Les éléments au dossier ne sont en l’état pas suffisants pour permettre la condamnation de l’appelant, et l’instruction ne peut pas être complétée sur des points essentiels. Par conséquent, il convient de libérer X.________ des chefs de prévention de cession abusive de permis et/ou de plaques de contrôle et d’obtention frauduleuse de permis et/ou d’autorisation.</w:t>
      </w:r>
    </w:p>
    <w:p>
      <w:r>
        <w:rPr>
          <w:b/>
        </w:rPr>
        <w:t>E. 3</w:t>
      </w:r>
    </w:p>
    <w:p>
      <w:r>
        <w:t>X.________ étant entièrement libéré, la totalité des frais de procédure de première instance sera laissée à la charge de l’Etat (art. 423 CPP).</w:t>
      </w:r>
    </w:p>
    <w:p>
      <w:r>
        <w:rPr>
          <w:b/>
        </w:rPr>
        <w:t>E. 4</w:t>
      </w:r>
    </w:p>
    <w:p>
      <w:r>
        <w:t>Vu l’issue de la cause, les frais d'appel antérieurs et postérieurs à l'arrêt du Tribunal fédéral du 10 septembre 2024, par 1'610 fr. (art. 21 al. 1 et 2 2 e phrase TFIP [Tarif des frais de procédure et indemnités en matière pénale du 28 septembre 2010 ; BLV 312.03.1], respectivement par 880 fr., seront laissés à la charge de l'Etat.</w:t>
      </w:r>
    </w:p>
    <w:p>
      <w:r>
        <w:rPr>
          <w:b/>
        </w:rPr>
        <w:t>E. 5</w:t>
      </w:r>
    </w:p>
    <w:p>
      <w:r>
        <w:t>Dans sa déclaration d’appel, X.________ a conclu à l’allocation d’une indemnité d’un montant de 500 fr. au sens de l’art. 429 al. 1 let. a CPP « pour les conseils d’avocat » (P. 13). Dans la mesure où il obtient gain de cause, il convient de lui allouer cette indemnité,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