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542 vom 11. Mai 2022</w:t>
      </w:r>
    </w:p>
    <w:p>
      <w:r>
        <w:t>VD Tribunal cantonal, 2022-05-11, FR</w:t>
      </w:r>
    </w:p>
    <w:p>
      <w:r>
        <w:rPr>
          <w:b/>
        </w:rPr>
        <w:t xml:space="preserve">Quelle: </w:t>
      </w:r>
      <w:r>
        <w:t>https://mcp.opencaselaw.ch/entscheid/vd_findinfo_Jug___2024___542</w:t>
      </w:r>
    </w:p>
    <w:p>
      <w:r>
        <w:t>FR: VD_FINDINFO Jug / 2024 / 542 du 11 mai 2022</w:t>
      </w:r>
    </w:p>
    <w:p>
      <w:r>
        <w:t>IT: VD_FINDINFO Jug / 2024 / 542 del 11 maggio 2022</w:t>
      </w:r>
    </w:p>
    <w:p>
      <w:pPr>
        <w:pStyle w:val="Heading2"/>
      </w:pPr>
      <w:r>
        <w:t>Regeste</w:t>
      </w:r>
    </w:p>
    <w:p>
      <w:r>
        <w:t>MANIFESTATION, PROTECTION DU CLIMAT, LIBERTÉ DE RÉUNION, ENTRAVE AUX SERVICES D'INTÉRÊT GÉNÉRAL, LOI FÉDÉRALE SUR LA CIRCULATION ROUTIÈRE, INFRACTIONS CONTRE L'AUTORITÉ PUBLIQUE | 11 CEDH, 239 CP, 286 CP, 52 CP, 107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w:t>
      </w:r>
    </w:p>
    <w:p>
      <w:r>
        <w:t>Dans son arrêt,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1.1,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 recourant que le jugement attaqué est lacunaire. En particulier, si le jugement attaqué fait état des retards constatés sur la place Saint-François (fait qui ne sont toutefois pas imputés au recourant), il ne précise pas quelles lignes circulant habituellement sur la rue Centrale auraient été interrompues, combien de bus auraient été concernés, durant combien de temps,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 Quant au grief de B.________, qui estimait que les infractions réprimées par les art. 239 CP et 90 al. 1 LCR retenues à sa charge n'entraient pas en concours idéal, l'art. 90 al. 1 LCR étant selon lui absorbé par l'art. 239 CP lorsqu'un même acte empêche d'un seul bloc la circulation routière et les services d'intérêts général, le Tribunal fédéral a considéré qu’il était pour l’heure sans objet, dans la mesure où sa condamnation au titre de l'art. 239 CP faisait l'objet d'un renvoi à la cour cantonale. S’agissant enfin du grief de B.________, qui faisait valoir que sa condamnation consacrait une violation de sa liberté de réunion pacifique (art. 11 CEDH) et une violation de sa liberté d’expression (art. 10 CEDH), le Tribunal fédéral a indiqué qu’il incomberait à la cour cantonale de se prononcer sur la question une fois qu’elle aurait à nouveau déterminé les infractions dont le prénommé s’était ou non rendu coupable. Le grief était pour l’heure sans objet, tout comme celui tiré d’une violation de l’art. 52 CP.</w:t>
      </w:r>
    </w:p>
    <w:p>
      <w:r>
        <w:rPr>
          <w:b/>
        </w:rPr>
        <w:t>E. 3.1</w:t>
      </w:r>
    </w:p>
    <w:p>
      <w:r>
        <w:t>L’appelant conteste sa condamnation pour entrave aux services d’intérêt général.</w:t>
      </w:r>
    </w:p>
    <w:p>
      <w:r>
        <w:rPr>
          <w:b/>
        </w:rPr>
        <w:t>E. 3.2</w:t>
      </w:r>
    </w:p>
    <w:p>
      <w:r>
        <w:t>L'art. 239 CP, qui sanctionne l'entrave aux services d'intérêt général, protège l'intérêt public à ce que certaines entreprises fournissent leurs services sans perturbation (ATF 116 IV 44 consid. 2a ; TF 6B_710/2023 du 25 avril 2024 consid. 5.1.2). Sont concernées, les entreprises publiques de transports ou de communication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6B_197/2023 du 2 avril 2024 consid. 1.1.4 ; TF 4A_235/2009 du 13 octobre 2009 consid. 4.3.2). Ainsi, il a été admis que celui qui empêchait une entreprise ferroviaire de respecter l'horaire pendant une heure trente perturbait son exploitation d'une manière importante (ATF 116 IV 44 consid. 2d).</w:t>
      </w:r>
    </w:p>
    <w:p>
      <w:r>
        <w:rPr>
          <w:b/>
        </w:rPr>
        <w:t>E. 3.3</w:t>
      </w:r>
    </w:p>
    <w:p>
      <w:r>
        <w:t>Le rapport des TL du 11 mars 2024 permet de constater que les lignes 22 et 60 desservaient la rue Centrale en 2019, soit lors de la manifestation du 14 décembre 2019. Il est établi que l’axe en question a été bloqué de 10h00 à 16h00 environ, soit durant quelque 6 heures. Il en résulte que 80 bus ont été empêchés de circuler durant l’action de blocage. Aucun trafic alternatif n’a pu être organisé, au contraire de ce qui s’est produit avec les lignes passant par la Place Saint-François, là où la manifestation avait été annoncée. Enfin, il ne fait aucun doute que le but de l’appelant était de participer à une manifestation collective, en agissant de concert avec les autres manifestants par une ou plusieurs actions de blocage. Au vu de l’ensemble des éléments qui précèdent, il est établi que l’entrave a été considérable, en durée et en intensité. La condamnation de l’appelant pour l’infraction d’entrave aux services d’intérêt général doit ainsi être confirmée.</w:t>
      </w:r>
    </w:p>
    <w:p>
      <w:r>
        <w:rPr>
          <w:b/>
        </w:rPr>
        <w:t>E. 4.1</w:t>
      </w:r>
    </w:p>
    <w:p>
      <w:r>
        <w:t>L’appelant conteste sa condamnation pour l’infraction d’empêchement d’accomplir un acte officiel.</w:t>
      </w:r>
    </w:p>
    <w:p>
      <w:r>
        <w:rPr>
          <w:b/>
        </w:rPr>
        <w:t>E. 4.2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w:t>
      </w:r>
    </w:p>
    <w:p>
      <w:r>
        <w:rPr>
          <w:b/>
        </w:rPr>
        <w:t>E. 4.3</w:t>
      </w:r>
    </w:p>
    <w:p>
      <w:r>
        <w:t>L’appelant a confirmé avoir participé à la manifestation dès le début et y être resté plusieurs heures. Il a indiqué avoir entendu la police demander aux manifestants de quitter les lieux, mais il avait décidé de rester et de s’enchaîner avec d’autres manifestants, ceci dans le but d’empêcher la police d’évacuer séparément les manifestants. Ainsi, nonobstant le fait que l’évacuation des manifestants se soit produite sans violence, force est de retenir qu’en décidant de s’enchaîner à d’autres manifestants, l’appelant a adopté un comportement actif propre à empêcher la police d’évacuer les lieux de la manifestation de manière rapide, ce qui est constitutif d’un empêchement d’accomplir un acte officiel au sens de l’art. 286 al. 1 CP.</w:t>
      </w:r>
    </w:p>
    <w:p>
      <w:r>
        <w:rPr>
          <w:b/>
        </w:rPr>
        <w:t>E. 5.1</w:t>
      </w:r>
    </w:p>
    <w:p>
      <w:r>
        <w:t>L’appelant conteste sa condamnation pour violation simple des règles de la circulation routière. Il soutient que les art. 239 ch. 1 CP (entrave aux services d’intérêt général) et 90 al. 1 LCR (violation simple des règles de la circulation routière) n’entrent pas en concours idéal. L’art. 239 ch. 1 CP absorbant l’art. 90 al. 1 LCR, il devrait être libéré du chef d’infraction de violation simple des règles de la circulation routière.</w:t>
      </w:r>
    </w:p>
    <w:p>
      <w:r>
        <w:rPr>
          <w:b/>
        </w:rPr>
        <w:t>E. 5.2</w:t>
      </w:r>
    </w:p>
    <w:p>
      <w:r>
        <w:t>L'art. 239 CP, qui sanctionne l'entrave aux services d'intérêt général, protège l'intérêt public à ce que certaines entreprises fournissent leurs services sans perturbation (ATF 116 IV 44 consid. 2a ; ATF 85 IV 224 consid. III.2 ; ATF 72 IV 68). L’art. 90 al. 1 LCR protège la sécurité routière et la fluidité du trafic (Jeanneret/Kuhn/Mizel/Riske, Code suisse de la circulation routière commenté, 5 e éd., Bâle, 2024, n. 1.8 ad art. 90 LCR).</w:t>
      </w:r>
    </w:p>
    <w:p>
      <w:r>
        <w:rPr>
          <w:b/>
        </w:rPr>
        <w:t>E. 5.3</w:t>
      </w:r>
    </w:p>
    <w:p>
      <w:r>
        <w:t>L’appelant a contrevenu aux règles de la circulation routière au sens de l’art. 90 LCR en relation avec les art. 26 et 49 LCR en bloquant les voies de circulations aux autres usagers de la route. Sa condamnation pour violation simple des règles de la circulation routière doit donc être confirmée. En effet, les biens juridiquement protégés des art. 239 ch. 1 CP et 90 al. 1 LCR sont distincts, à savoir les services publics, d’une part, et les usagers de la route, d’autre part, soit les nombreux automobilistes qui n’ont pas pu emprunter cet axe routier bloqué. Le grief de l’appelant est donc infondé.</w:t>
      </w:r>
    </w:p>
    <w:p>
      <w:r>
        <w:rPr>
          <w:b/>
        </w:rPr>
        <w:t>E. 6.1</w:t>
      </w:r>
    </w:p>
    <w:p>
      <w:r>
        <w:t>L’appelant fait valoir que sa condamnation consacrerait une violation de sa liberté de réunion pacifique (art. 11 CEDH) et une violation de sa liberté d’expression (art. 10 CEDH).</w:t>
      </w:r>
    </w:p>
    <w:p>
      <w:r>
        <w:rPr>
          <w:b/>
        </w:rPr>
        <w:t>E. 6.2.1</w:t>
      </w:r>
    </w:p>
    <w:p>
      <w:r>
        <w:t>L'art. 14 CP dispose que quiconque agit comme la loi l'ordonne ou l'autorise se comporte de manière licite, même si l'acte est punissable en vertu du code pénal ou d'une autre loi.</w:t>
      </w:r>
    </w:p>
    <w:p>
      <w:r>
        <w:rPr>
          <w:b/>
        </w:rPr>
        <w:t>E. 6.2.2.1</w:t>
      </w:r>
    </w:p>
    <w:p>
      <w:r>
        <w:t>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6B_477/2023 du 17 avril 2024 consid. 7.1.1 ; TF 6B_655/2022 du 31 août 2022 consid. 4.2). En vertu de l'art. 11 par. 1 CEDH, qui offre des garanties comparables à celles de l'art. 22 Cst. (ATF 132 I 256 consid. 3 ; TF 6B_477/2023 précité consid. 7.1.2 ; TF 6B_1098/2022 du 31 juillet 2023 consid. 6.1.2 ; TF 6B_837/2022 du 17 avril 2023 consid. 3.1.1), toute personne a notamment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w:t>
      </w:r>
    </w:p>
    <w:p>
      <w:r>
        <w:rPr>
          <w:b/>
        </w:rPr>
        <w:t>E. 6.2.2.2</w:t>
      </w:r>
    </w:p>
    <w:p>
      <w:r>
        <w:t>Selon la jurisprudence du Tribunal fédéral, il existe en principe, sur la base de la liberté d'opinion, d'information et de réunion, un droit conditionnel à l'usage accru du domaine public pour des manifestations avec appel au public (ATF 144 I 50 consid. 6.3 ; ATF 138 I 274 consid. 2.2.2 ; ATF 132 I 256 consid. 3 ; TF 6B_655/2022 précité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(AF 127 I 164 consid. 3 ; TF 6B_655/2022 précité). Plus simplement, il s'agit d'assurer l'utilisation adéquate des installations publiques disponibles dans l'intérêt de la collectivité et du voisinage ainsi que de limiter l'atteinte portée par la manifestation aux libertés des tiers non-manifestants (ATF 143 I 147 consid. 3.2 ; TF 6B_655/2022 précité consid. 4.3).</w:t>
      </w:r>
    </w:p>
    <w:p>
      <w:r>
        <w:rPr>
          <w:b/>
        </w:rPr>
        <w:t>E. 6.2.2.3</w:t>
      </w:r>
    </w:p>
    <w:p>
      <w:r>
        <w:t>La Haute cour a confirmé que les autorités doivent pouvoir sanctionner ceux qui participent à une manifestation non autorisée, sans quoi une procédure d'autorisation serait illusoire (arrêt de la CourEDH Ziliberberg c. Moldova, du 1 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w:t>
      </w:r>
    </w:p>
    <w:p>
      <w:r>
        <w:rPr>
          <w:b/>
        </w:rPr>
        <w:t>E. 6.2.2.4</w:t>
      </w:r>
    </w:p>
    <w:p>
      <w:r>
        <w:t>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46-47).</w:t>
      </w:r>
    </w:p>
    <w:p>
      <w:r>
        <w:rPr>
          <w:b/>
        </w:rPr>
        <w:t>E. 6.2.2.5</w:t>
      </w:r>
    </w:p>
    <w:p>
      <w:r>
        <w:t>Dans plusieurs arrêts concernant la manifestation du 14 décembre 2019 et plus particulièrement le blocage de la rue Centrale, le Tribunal fédéral a confirmé que la condamnation des participants concernés par la cour cantonale ne violait pas l’art. 11 CEDH (TF 6B_477/2023 précité consid. 7 ; TF 6B_1462/2022 du 18 janvier 2024 consid. 6 ; TF 6B_1460/2022 du 16 janvier 2024 consid. 10).</w:t>
      </w:r>
    </w:p>
    <w:p>
      <w:r>
        <w:rPr>
          <w:b/>
        </w:rPr>
        <w:t>E. 6.3</w:t>
      </w:r>
    </w:p>
    <w:p>
      <w:r>
        <w:t>En l’espèce, il est admis que la manifestation n’était pas autorisée. En outre, il est établi que les autorités municipales ne disposaient pas des renseignements nécessaires qui leur auraient permis de garantir le bon déroulement de la manifestation, respectivement d’assurer la sécurité de la circulation ainsi que la continuité de l'exploitation des transports publics et des véhicules ; en particulier, elles ne connaissaient ni la durée de la manifestation, ni les lieux ciblés par les participants ni la méthode qui serait utilisée pour bloquer la circulation. Par ailleurs, force est de constater que la police a fait preuve de tolérance à l’égard des manifestants et a respecté leur liberté de se réunir puisque, malgré l’entrave majeure causée à la circulation publique, ceux-ci ont pu librement exprimer leurs revendications durant plus de trois heures, soit entre 10h00 et 13h15, heure à laquelle les premières sommations ont été effectuées. Bien avant l’intervention de la police, on doit cependant considérer que l’ampleur de la manifestation dépassait celle qu'impliquait l'exercice normal de la liberté de réunion à laquelle les manifestants pouvaient prétendre, étant rappelé, sous l’angle de la proportionnalité, que le droit de manifester ne protège pas la désobéissance et le choix de désobéir pour donner de la visibilité à ses revendications. Ainsi, compte tenu de l’importance des perturbations causées, l’appelant, en refusant de se disperser, s’exposait à des sanctions de nature pénale. Ces sanctions ne consacrent pas une violation de son droit à la liberté de réunion garanti par l'art. 11 CEDH. Au contraire, elles résultent d'un juste équilibre entre les buts légitimes de la sûreté publique, de la défense de l'ordre et de la protection des droits et libertés d'autrui, d'une part, et les impératifs de la liberté de réunion, d'autre part.</w:t>
      </w:r>
    </w:p>
    <w:p>
      <w:r>
        <w:rPr>
          <w:b/>
        </w:rPr>
        <w:t>E. 7.1</w:t>
      </w:r>
    </w:p>
    <w:p>
      <w:r>
        <w:t>L’appelant invoque une violation de l’art. 52 CP.</w:t>
      </w:r>
    </w:p>
    <w:p>
      <w:r>
        <w:rPr>
          <w:b/>
        </w:rPr>
        <w:t>E. 7.2</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135 IV 130 consid. 5.3.3; TF 7B_683/2023 du 5 septembre 2024 consid. 7.1 ; TF 6B_1049/2023 du 19 juillet 2024 consid. 4.1.1 et les références citées). La culpabilité de l'auteur se détermine selon les règles générales de l'art. 47 CP (ibidem), mais aussi selon d'autres critères, comme le principe de la célérité ou d'autres motifs d'atténuation de la peine indépendants de la faute tels que l'écoulement du temps depuis la commission de l'infraction (ATF 135 IV 130 consid. 5.4; TF 7B_683/2023 précité consid. 7.1 ; TF 6B_1049/2023 précité consid. 4.1.1 et la référence citée).</w:t>
      </w:r>
    </w:p>
    <w:p>
      <w:r>
        <w:rPr>
          <w:b/>
        </w:rPr>
        <w:t>E. 7.3</w:t>
      </w:r>
    </w:p>
    <w:p>
      <w:r>
        <w:t>En l'espèce, force est de constater que les conditions d'application de l'art. 52 CP ne sont pas réunies. La cause défendue par l’appelant ne justifie pas son comportement illicite, d'autant moins que celle-ci pouvait être défendue par des moyens licites. A cela s'ajoute que le comportement de l’appelant n'a pas été sans conséquence pour les services d'utilité publique et pour les nombreuses personnes gênées par le blocage de la rue Centrale – un axe majeur – durant plusieurs heures. Un tel raisonnement a été maintes fois confirmé par le Tribunal fédéral dans des affaires portant sur des actions climatiques similaires (TF 7B_683/2023 précité consid. 7.2 ; TF 6B_282/2022 du 13 janvier 2023 consid. 2.3 ; TF 6B_1061/2021 du 9 mai 2022 consid. 7.3 ; TF 6B_145/2021 du 3 janvier 2022 consid. 5.4; TF 6B_1295/2020 précité consid. 7, non publié in ATF 147 IV 297). On ne saurait considérer les conséquences du comportement de l’appelant comme étant de peu d'importance. Il s’ensuit que le grief doit être rejeté.</w:t>
      </w:r>
    </w:p>
    <w:p>
      <w:r>
        <w:rPr>
          <w:b/>
        </w:rPr>
        <w:t>E. 8</w:t>
      </w:r>
    </w:p>
    <w:p>
      <w:r>
        <w:t>Pour le surplus, l’appelant ne conteste pas à proprement parler la peine prononcée à leur encontre. Vérifiée d’office, la légère peine à laquelle l’appelant a été condamné, à savoir 15 jours-amende à 30 fr. le jour, avec sursis pendant deux ans, est adéquate et doit être confirmée. La libération de l’appelant de la contravention à la loi vaudoise sur les contraventions conduit à réduire l’amende prononcée à son encontre pour violation simple des règles de la circulation routière à 200 fr., la peine privative de liberté de substitution étant fixée à deux jours.</w:t>
      </w:r>
    </w:p>
    <w:p>
      <w:r>
        <w:rPr>
          <w:b/>
        </w:rPr>
        <w:t>E. 9</w:t>
      </w:r>
    </w:p>
    <w:p>
      <w:r>
        <w:t>En définitive, les appels de S.________ et de B.________ doivent être très partiellement admis et le jugement entrepris réformé en ce sens que les prénommés sont libérés du chef d’accusation de contravention à la loi vaudoise sur les contraventions et condamnés à une amende de 200 fr., la peine privative de liberté de substitution en cas de non-paiement fautif étant de 2 jours. Vu l’issue de la cause, les frais de la procédure d'appel antérieure à l’arrêt du Tribunal fédéral du 5 juin 2024, par 3'010 fr. (art. 21 al. 1 TFIP [Tarif des frais de procédure et indemnités en matière pénale du 28 septembre 2010 ; BLV 312.03.1]), seront répartis par un tiers, soit 1'003 fr. 35, à la charge de S.________ et par un quart, soit 752 fr. 50, à la charge de B.________, le solde étant laissé à la charge de l’Etat. Les frais de la procédure d’appel postérieure à l’arrêt du Tribunal fédéral du 5 juin 2024, constitués des émoluments d’audience et de jugement, par 2’380 fr., seront laissés à la charge de l'Etat. La Cour d’appel pénale, appliquant à S.________ les art. 34, 42 al. 1, 44 al. 1, 47, 49 al. 1, 50, 106, 239 ch. 1 et 286 CP ; 90 al. 1 LCR en relation avec 26 al. 1, 49 al. 2 LCR et 46 al. 2 OCR ; 398 ss CPP ; appliquant à B.________ les art. 34, 42 al. 1, 44 al. 1, 47, 49 al. 1, 50, 106, 239 ch. 1 et 286 CP ; 90 al. 1 LCR en relation avec 26 al. 1, 49 al. 2 LCR et 46 al. 2 OCR ; 398 ss CPP, prononce : I. Les appels sont très partiellement admis. II. Le jugement rendu le 11 mai 2022 par le Tribunal de police de l’arrondissement de Lausanne est réformé aux chiffres XXII, XXV, XXX et XXXIII et par l’ajout des chiffres XXII bis et XXX bis, le dispositif étant désormais le suivant : " I. constate que les oppositions formées par [...], [...], [...], [...], [...],S.________, [...],B.________, [...] et [...] sont recevables ; II. à XXI. inchangés ; XXII. constate que S.________ s’est rendue coupable d’entrave aux services d’intérêt général, d’empêchement d’accomplir un acte officiel et de violation simple des règles de la circulation routière ; XXIIbis. libère S.________ du chef d’accusation de contravention à la loi vaudoise sur les contraventions ; XXIII. condamne S.________ à une peine pécuniaire de 15 (quinze) jours-amende, le montant du jour-amende étant fixé à 30 fr. (trente francs) ; XXIV. suspend l’exécution de la peine pécuniaire prononcée sous chiffre XXIII ci-dessus et impartit à S.________ un délai d’épreuve de 2 (deux) ans ; XXV. condamne S.________ à une amende de 200 fr. (deux cents francs) et dit qu’en cas de non-paiement fautif de l’amende, la peine privative de liberté de substitution sera de 2 (deux) jours ; XXVI. à XXIX. inchangés ; XXX. constate que B.________ s’est rendu coupable d’entrave aux services d’intérêt général, d’empêchement d’accomplir un acte officiel et de violation simple des règles de la circulation routière ; XXXbis. libère B.________ du chef d’accusation de contravention à la loi vaudoise sur les contraventions ; XXXI. condamne B.________ à une peine pécuniaire de 15 (quinze) jours-amende, le montant du jour-amende étant fixé à 30 fr. (trente francs) ; XXXII. suspend l’exécution de la peine pécuniaire prononcée sous chiffre XXXI ci-dessus et impartit à B.________ un délai d’épreuve de 2 (deux) ans ; XXXIII. condamne B.________ à une amende de 200 fr. (deux cents francs) et dit qu’en cas de non-paiement fautif de l’amende, la peine privative de liberté de substitution sera de 2 (deux) jours ; XXXIV. à XXXIX. inchangés ; XXXX. rejette la requête déposée par [...], [...], [...], [...], [...], [...], [...],S.________, [...], et B.________ tendant à l’octroi d’une indemnité au sens de l’art. 429 CPP ; XXXXI. met les frais de la procédure de la Commission de police de la commune de Lausanne par 50 fr. (cinquante francs) à la charge de B.________ ; XXXXII. met les frais de la cause à la charge de [...] par CHF 287.50, [...] par 287 fr. 50, [...] par 287 fr. 50, [...] par 543 fr. 50, [...] par 287 fr. 50, S.________ par 287 fr. 50, [...] par 1'036 fr. et B.________ par 287 fr. 50." III. Les frais de la procédure d'appel antérieure à l’arrêt du Tribunal fédéral du 5 juin 2024, par 3'010 fr., sont mis par un tiers, soit par 1'003 fr. 35, à la charge de S.________ et par un quart, soit par 752 fr. 50, à la charge de B.________, le solde étant laissé à la charge de l’Etat. IV. Les frais de la procédure d’appel postérieure à l’arrêt du Tribunal fédéral du 5 juin 2024, par 2'380 fr., sont laissés à la charge de l’Etat. V. Le jugement motivé est exécutoire. Le président :               La greffière : Du Le jugement qui précède, dont le dispositif a été communiqué par écrit aux intéressés le</w:t>
      </w:r>
    </w:p>
    <w:p>
      <w:r>
        <w:rPr>
          <w:b/>
        </w:rPr>
        <w:t>E. 13</w:t>
      </w:r>
    </w:p>
    <w:p>
      <w:r>
        <w:t>novembre 2024 , est notifié, par l'envoi d'une copie complète, à : - M. B.________, - Ministère public central, et communiqué à : - M. le Président du Tribunal de police de l'arrondissement de Lausanne, - M. le Procureur de l'arrondissement de Lausanne, - Me Noémie Weill, avocate (pour S.________),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