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532 vom 23. April 2024</w:t>
      </w:r>
    </w:p>
    <w:p>
      <w:r>
        <w:t>VD Tribunal cantonal, 2024-04-23, FR</w:t>
      </w:r>
    </w:p>
    <w:p>
      <w:r>
        <w:rPr>
          <w:b/>
        </w:rPr>
        <w:t xml:space="preserve">Quelle: </w:t>
      </w:r>
      <w:r>
        <w:t>https://mcp.opencaselaw.ch/entscheid/vd_findinfo_Jug___2024___532</w:t>
      </w:r>
    </w:p>
    <w:p>
      <w:r>
        <w:t>FR: VD_FINDINFO Jug / 2024 / 532 du 23 avril 2024</w:t>
      </w:r>
    </w:p>
    <w:p>
      <w:r>
        <w:t>IT: VD_FINDINFO Jug / 2024 / 532 del 23 aprile 2024</w:t>
      </w:r>
    </w:p>
    <w:p>
      <w:pPr>
        <w:pStyle w:val="Heading2"/>
      </w:pPr>
      <w:r>
        <w:t>Regeste</w:t>
      </w:r>
    </w:p>
    <w:p>
      <w:r>
        <w:t>TENTATIVE{DROIT PÉNAL}, MEURTRE, INTERNEMENT{DROIT PÉNAL}, PEINES ET MESURES, EXPERTISE PSYCHIATRIQUE | 177 CP, 22 ad 111 CP, 23 CP, 59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w:t>
      </w:r>
    </w:p>
    <w:p>
      <w:r>
        <w:t>p. 3 « Ben voilà, elle m'a tenu on s'est tenu »), alors qu'il ressort de l'instruction que la plaignante a été frappée aux visages assez violemment et à plusieurs reprises au vu des nombreux hématomes constatés par les médecins (P. 20) et par la voisine (PV aud. 1 R 5 « Elle a assez rapidement ouvert la porte et j'ai vu qu'elle était en pleurs avec des hématomes sur le visage »). Ce n'est qu'en fin d'enquête que L.________ a admis avoir donné des coups au visage de W.________ et l’avoir maintenue au sol en lui tenant la gorge (PV aud. 6 p. 2 l. 65 ss). Le prévenu conteste encore avoir serré le cou alors que le cou et la nuque présentent bon nombre d'ecchymoses (P. 20) et prétend que l'entier de l'épisode a duré 10 à 15 secondes, ce qui n'est pas possible au vu du tableau lésionnel d'une part (ibidem) et des aveux d'autre part. Dans ces circonstances, il est bien évidemment difficile de donner du crédit aux déclarations du prévenu. Il est aussi exact, comme l'a retenu le Tribunal correctionnel, que la plaignante n'a, globalement, pas cherché à accabler le prévenu. Elle ne « veu[t] pas le mettre dans le pétrin » (PV2 R 2) et ne souhaitait initialement pas déposer plainte (PV 2 R 6 1, 136ss). D'ailleurs elle avait demandé à la voisine de ne pas appeler la Police (PV 1 R 5).</w:t>
      </w:r>
    </w:p>
    <w:p>
      <w:r>
        <w:rPr>
          <w:b/>
        </w:rPr>
        <w:t>E. 3.1</w:t>
      </w:r>
    </w:p>
    <w:p>
      <w:r>
        <w:t>L'appelant conteste les faits retenus à l'appui de la qualification de tentative de meurtre. Selon lui, le Tribunal correctionnel ne pouvait pas retenir la version présentée par la plaignante, W.________, laquelle n’était ni claire ni constante. En outre, entendue immédiatement après les faits, celle-ci avait déclaré qu’il avait relâché son étreinte avant que la voisine ne sonne à la porte, ce qui démontrerait qu’il n’avait pas d’intention homicide et était décisif.</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3.2.2</w:t>
      </w:r>
    </w:p>
    <w:p>
      <w:r>
        <w:t>Aux termes de l'art. 111 CP, se rend coupable de meurtre quiconque tue une personne intentionnellement.</w:t>
      </w:r>
    </w:p>
    <w:p>
      <w:r>
        <w:rPr>
          <w:b/>
        </w:rPr>
        <w:t>E. 3.2.3</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Ces trois formes correspondent à un comportement intentionnel au sens de l'art. 12 al. 2 CP (Dupuis et al. [éd.], Petit Commentaire, Code pénal, 2e éd., Bâle 2017, n. 10 ad art. 12 CP et les références citées).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et qu'il s'accommode de ce résultat, même s'il préfère l'éviter (ATF 125 IV 242 consid. 3c, JdT 2002 IV 38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op. cit.,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 9 consid. 4.1 ; ATF 130 IV 58 consid. 8.4 ; ATF 125 IV 242 consid. 3c).</w:t>
      </w:r>
    </w:p>
    <w:p>
      <w:r>
        <w:rPr>
          <w:b/>
        </w:rPr>
        <w:t>E. 3.2.4</w:t>
      </w:r>
    </w:p>
    <w:p>
      <w:r>
        <w:t>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Selon l’art. 23 CP, si, de sa propre initiative, l’auteur a renoncé à poursuivre l’activité punissable jusqu’à son terme ou qu’il a contribué à empêcher la consommation de l’infraction, le juge peut atténuer la peine ou exempter l’auteur de toute peine. Le désistement suppose une décision spontanée de l’auteur de renoncer au but qu’il s’était fixé ; il n’est en revanche pas admis s’il est dû à l’intervention d’un facteur extérieur étranger à l’auteur (Dupuis et al., op. cit., n. 4 ad art. 23 CP).</w:t>
      </w:r>
    </w:p>
    <w:p>
      <w:r>
        <w:rPr>
          <w:b/>
        </w:rPr>
        <w:t>E. 3.3.1</w:t>
      </w:r>
    </w:p>
    <w:p>
      <w:r>
        <w:t>S'agissant de la strangulation, le Tribunal correctionnel a tout d'abord relevé que le prévenu avait nié les faits depuis le début de l'enquête. Il avait en effet déclaré être monté chez W.________ le 23 octobre 2021 en début d'après-midi car il souhaitait éclaircir certaines choses qu'il avait lues dans le téléphone portable de celle-ci. Il avait alors consommé de la bière. Après avoir reçu les explications attendues, L.________ et W.________ avaient consommé de la vodka. Le prévenu, qui se sentait saoul s'était installé à plat ventre, sur le canapé de son amie pour dessaouler. Elle lui avait alors demandé de quitter son appartement. Comme il ne s'était pas exécuté, une bagarre physique s'en était ensuivie. En particulier, W.________ lui avait lancé une télécommande dessus, l'avait attrapé par les pieds et était tombée en arrière lorsqu'elle avait lâché prise. Blessée à la tête, elle était allée chercher un sac de glace, avec l'aide duquel elle avait frappé le prévenu. Ensuite de ces coups, L.________ lui avait sauté dessus et avait tenté de la maîtriser au sol pour lui faire lâcher son sac de glace. Il la tenait alors par la gorge, sur le visage et lui avait mis plusieurs coups main ouverte. Après lui avoir dit avoir été condamné ensuite du meurtre de la mère de sa fille, L.________ avait relâché son étreinte. Pour le Tribunal correctionnel, les déclarations du prévenu étaient sujettes à caution.</w:t>
      </w:r>
    </w:p>
    <w:p>
      <w:r>
        <w:rPr>
          <w:b/>
        </w:rPr>
        <w:t>E. 3.3.2</w:t>
      </w:r>
    </w:p>
    <w:p>
      <w:r>
        <w:t>En l’espèce, le Tribunal correctionnel n'explique pas précisément pour quels motifs il a considéré que les déclarations du prévenu étaient « sujettes à caution », même si l'on comprend de la motivation du jugement entrepris qu'il a privilégié celles de la plaignante. Cela étant dit, il faut relever qu’il est exact que le prévenu a commencé par nier les faits ou les minimiser (par exemple : PV aud. 3 R 3 p. 3 « On s'est pris le bec » « On s'est empoigné, puis on a fini les deux au sol » ; PV aud. 3 R 5 p. 4 « Je ne l'ai pas tabassée » ; PV aud.</w:t>
      </w:r>
    </w:p>
    <w:p>
      <w:r>
        <w:rPr>
          <w:b/>
        </w:rPr>
        <w:t>E. 3.3.3</w:t>
      </w:r>
    </w:p>
    <w:p>
      <w:r>
        <w:t>Dans ces circonstances, le Tribunal correctionnel a justement apprécié la situation en retenant que les déclarations du prévenu étaient sujettes à caution tandis que la victime était crédible. L'appelant, bien qu'ayant finalement admis certains des faits, a toujours déclaré, en substance, ne pas avoir eu d'intention homicide, mais avoir voulu maîtriser W.________ durant leur altercation. Alors qu’il se trouvait à califourchon sur W.________ et qu’il avait les mains autour de son cou, le prévenu lui a déclaré « Je n’ai pas fait 7 ans de prison à cause que j’ai vendu de la drogue mais parce que j’ai voulu tuer mon ex ! ».  Or on sait que la strangulation est précisément le mode opératoire utilisé dans le cadre de l’homicide pour lequel L.________ a été condamné le 13 juin 2026 par le Tribunal correctionnel de l’arrondissement de La Côte. Ensuite, on ne saurait suivre l’appelant lorsqu’il conteste avoir voulu étrangler sa victime, mais avoir simplement voulu la maîtriser. En effet, la lecture des faits montre que L.________ s’est déchaîné sur W.________, en la faisant chuter, en la frappant violement au visage avant de la saisir au cou alors qu’elle était au sol. Il n’est dès lors pas crédible qu’après avoir infligé de telles violences au visage de sa compagne, laquelle était étendue parterre, il ait encore dû la maitriser. Il faut bien plutôt considérer qu’il était dans une telle colère qu’il avait la volonté de lui faire mal au point d’attenter à sa vie. Un tel geste ne saurait trouver une autre justification que celle d’une volonté homicide, étant au demeurant rappelé que l’appelant est bien plus fort et grand que la plaignante. L’intention homicide de L.________ ne fait dès lors aucun doute.</w:t>
      </w:r>
    </w:p>
    <w:p>
      <w:r>
        <w:rPr>
          <w:b/>
        </w:rPr>
        <w:t>E. 3.3.4</w:t>
      </w:r>
    </w:p>
    <w:p>
      <w:r>
        <w:t>L’appelant explique ensuite qu’il aurait spontanément relâché son étreinte, réalisant que son comportement allait trop loin, et que la voisine serait arrivée après. Sur ce point, l'appelant doit être suivi. En effet, il ressort des premières déclarations des parties que l'altercation s'est interrompue avant que la voisine ne sonne à la porte (PV aud. 2 R 5 l. 76 ss) : « Je me disais qu'il ne fallait vraiment pas qu'il serre plus, sinon j'allais mourir. Quasiment en même temps, il m'a dit « je n'ai pas fait 7 ans de prison à cause que j'ai vendu de la drogue mais parce que j'ai voulu tuer mon ex » après quelques secondes, il m'a lâché le cou » ; PV aud. 2 p. 5 l 10 ss : « vous me demandez si je sais ce qui a fait que [...] a arrêté de m'agresser. Je pense que c'est quand il a compris qu'il allait trop loin et que je lui ai dit que je n'arrivais plus à respirer » ; PV aud. 2 l 10 ss : « Après m'avoir lâché, il s'est relevé et aussitôt quelqu'un a sonné à la porte. J'ai vu que cela l'a fait flipper » ; PV aud. 3 p. 9 R 5 : « Après de vous dire quel était l'élément déclencheur peut-être à cause du voisin. Mais je ne pense pas qu'on s'est arrêté à cause de la voisine car elle est arrivée après »). Le rapport de Police arrive au même constat, à savoir que selon la plaignante, pour une raison inconnue, le prévenu avait soudainement interrompu son geste lui permettant de respirer à nouveau (P. 6 p. 5). S'agissant du mécanisme de strangulation, la plaignante a commencé par dire qu'il avait serré à une seule main, sinon elle serait morte (PV aud. 2 l 76 ss) avant de revenir sur ses déclarations pour dire qu'il avait serré à deux mains. Il n'y a d'ailleurs pas eu de pétéchies, et pas de mise en danger, selon les médecins légistes (P. 20 p. 8). Par ailleurs, il est plausible que la plaignante ait demandé quelle était l'identité de la précédente victime, dès lors qu'on ne voit pas pour quel motif l'appelant aurait inventé ce détail. Cette discussion a nécessairement eu lieu après que le prévenu lui a annoncé les motifs de sa précédente condamnation, ce qui indique qu'il y a bien eu un espace-temps, même bref, entre la strangulation et l'arrivée de la voisine. S'ajoute encore le fait que la voisine a pu dire que la plaignante avait ouvert la porte assez rapidement (PV aud. 1 R 5), ce qui serait difficilement envisageable si elle avait dû préalablement se défaire de la posture qui était la sienne pendant la strangulation. Ainsi, il faut s'écarter de l'appréciation des faits telle qu'elle a été retenue par le Tribunal correctionnel et retenir que L.________ a spontanément relâché son étreinte avant que la voisine ne sonne à la porte, comme déclaré initialement par la plaignante. Au vu de ce qui précède, l’intention homicide de L.________ ne fait aucun doute et il doit être reconnu coupable de tentative de meurtre.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4.1.2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4.2</w:t>
      </w:r>
    </w:p>
    <w:p>
      <w:r>
        <w:t>En l’occurrence, la culpabilité de L.________ est extrêmement lourde. A charge, on retiendra qu’il s’en est pris à l’un des biens juridiques les plus précieux de l’ordre juridique soit la vie. Alors qu’il bénéficiait d’un régime TELEX depuis à peine trois mois, il n’a pas hésité à recommencer à consommer du cannabis et à boire de l’alcool. Il a également contourné les contrôles d’abstinences auxquels il était astreint en calculant ses consommations afin d’obtenir des résultats négatifs et n’a pas indiqué à son thérapeute qu’il avait une nouvelle relation amoureuse, cela alors même qu’il suivait depuis des mois une thérapie pour l’aider à identifier les situations à risque et à repérer les dynamiques sous-jacentes aux passages à l’acte antérieurs. On relèvera encore que L.________ avait déjà exercé des violences contre le cou et qu’il savait à quel résultat cela pouvait aboutir. Par ailleurs il n’a eu de cesse de minimiser les faits allant jusqu’à se poser en victime, se déresponsabilisant en indiquant n’avoir fait que de se défendre. Enfin, son comportement en détention n’a pas été exemplaire puisqu’il a subi plusieurs sanctions. A décharge, on retiendra que le prévenu est globalement preneur du suivi proposé, même si l’authenticité de son investissement thérapeutique questionne. On tiendra également compte du fait qu’il y a eu une altercation et que W.________ lui a également donné des coups. Enfin, il a formulé des regrets. Dans l’examen de la culpabilité il faut également tenir compte des conclusions des experts qui préconisent une diminution moyenne de la responsabilité pénale de l’appelant au moment des faits (cf. let. C.c. supra) et qu’il a, de sa propre initiative, renoncé à poursuivre son activité criminelle, l’infraction n’était pas consommée (cf. consid. 3.3.4 supra). Au vu des éléments qui précédent, la peine privative de liberté de trente mois prononcée par les premiers juges, qui était trop clémente, notamment compte tenu du bien juridiquement protégé et de la récidive spéciale, apparait adéquate si l’on tient compte du fait que L.________ a, de son propre chef (désistement), renoncé à poursuivre son activité punissable jusqu’à son terme. Cette peine peut être confirmée. Elle sera ferme, les conditions du sursis n’étant manifestement pas réalisées. En outre, la peine pécuniaire de trente jours-amende à trente francs pour sanctionner l’injure, ainsi l’amende de 500 fr. pour sanctionner la contravention à la loi fédérale sur les stupéfiants, non contestées en l’espèce, sont adéquates et peuvent être confirmées, de même que la peine privative de liberté de cinq jours en cas de non-paiement fautif de l’amende.</w:t>
      </w:r>
    </w:p>
    <w:p>
      <w:r>
        <w:rPr>
          <w:b/>
        </w:rPr>
        <w:t>E. 5.1</w:t>
      </w:r>
    </w:p>
    <w:p>
      <w:r>
        <w:t>L’appelant conteste ensuite la mesure de traitement institutionnel à forme de l’art. 59 CP ordonnée par les premiers juges. Il rappelle que les experts avaient expliqué les raisons pour lesquelles, tant la protection de l’intérêt public que la réinsertion de l’appelant impliquaient de façon convergente la mise en œuvre non pas de l’art. 59 CP, mais celle de l’art. 63 CP. Selon lui il n’y aurait pas de motifs sérieux de s’écarter des conclusions de l’expertise, confirmées par la Dre Hegi en première instance.</w:t>
      </w:r>
    </w:p>
    <w:p>
      <w:r>
        <w:rPr>
          <w:b/>
        </w:rPr>
        <w:t>E. 5.2.1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w:t>
      </w:r>
    </w:p>
    <w:p>
      <w:r>
        <w:rPr>
          <w:b/>
        </w:rPr>
        <w:t>E. 5.2.2</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précité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précité consid. 3.5.5). La gravité du trouble exigée par le droit des mesures résulte de l'intensité du lien entre le trouble (médicalement important) et l'infraction. Un diagnostic ne peut être pris isolément et considéré comme suffisamment ou insuffisamment grave (ATF 146 IV 1 précité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 l'expert peut être qualifié de grave au sens de l'art. 59 CP (TF 6B_871/2022 précité ; TF 6B_643/2018 du 5 septembre 2018 consid. 1.4). En revanche, le tribunal n'a pas à procéder à sa propre appréciation des questions médicales techniques (TF 6B_871/2022 précité ; TF 6B_1163/2018 précité consid. 2.4.2).</w:t>
      </w:r>
    </w:p>
    <w:p>
      <w:r>
        <w:rPr>
          <w:b/>
        </w:rPr>
        <w:t>E. 5.2.3</w:t>
      </w:r>
    </w:p>
    <w:p>
      <w:r>
        <w:t>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 210/2015 du 22 juin 2015 consid. 2.1.2 et arrêts cités). Le Tribunal fédéral a jugé que, le fait de déterminer si un auteur doit, conformément à l'art. 59 al. 3 CP, être placé dans une institution fermée ou un établissement pénitentiaire (art. 76 al. 2 CP) est une question qui incombe à l'autorité d'exécution des peines (ATF 142 IV I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w:t>
      </w:r>
    </w:p>
    <w:p>
      <w:r>
        <w:rPr>
          <w:b/>
        </w:rPr>
        <w:t>E. 5.2.4</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Si la peine est compatible avec le traitement, ils sont exécutés en même temps (art. 63 al. 2 CP a contrario ; TF 6B_1355/2022 du 22 mars 2023 consid. 5.1 ; TF 6B_156/2019 du 27 juin 2019 consid. 2.1.1 non publié aux ATF 145 IV 281).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 et al. [éd.], Petit commentaire du Code pénal, 2e éd., Bâle 2017, nn. 9 et 11 ad art. 63 CP ; Quéloz/Munyankindi, in : Roth/Moreillon [éd.], Commentaire romand, Code pénal l, Art. 1-110 CP, Bâle 2009, n. 7 ad art. 63 CP). La suspension de la peine au bénéfice d’un traitement ambulatoire a ainsi un caractère exceptionnel et doit reposer sur une justification particulière (ATF 129 IV 161 consid. 4.1 et 4.3 ; TF 6B_264/2012 du 13 juillet 2012 consid. 6.1 ; TF 6B_807/2010 du</w:t>
      </w:r>
    </w:p>
    <w:p>
      <w:r>
        <w:rPr>
          <w:b/>
        </w:rPr>
        <w:t>E. 5.3.1</w:t>
      </w:r>
    </w:p>
    <w:p>
      <w:r>
        <w:t>L’appelant a été soumis à une expertise en cours d’enquête. La Dre Pascale Hegi, Médecin agréée, et Mme Natalie Knecht psychologue assistante, du Centre d'expertises, Département de psychiatrie, ont déposé leur rapport le 2 mars 2023. Les expertes ont posé les diagnostics de trouble de la personnalité émotionnellement labile, type borderline, de syndrome de dépendance à l'alcool, alors abstinent mais dans un environnement protégé et de syndrome de dépendance au cannabis, alors abstinent mais dans un milieu protégé. Dans la discussion, il a été retenu une peur de l'abandon, issue d'une jalousie excessive, qui le rend méfiant et interprétatif dans sa relation de couple, ce qui le conduit alors à avoir des comportements intrusifs envers sa compagne. Dès lors qu'il se sent repoussé par sa conjointe, l'appelant se réfugie dans l'alcool, dans le but d'annihiler ses affects négatifs. Il consomme de grandes quantités d'alcool fort, ce qui a pour conséquence de favoriser la désinhibition comportementale et le passage à l'acte agressif. Il présente de nombreux facteurs de risque de récidive d'actes de violence, notamment en lien avec son passé. Si l'appelant se retrouve dans une nouvelle relation sentimentale, alors le risque qu'il se sente à un moment donné de la relation, à nouveau abandonné, est considérable et, dans ce contexte, le risque qu'il recourt à la violence, physique ou verbale, peut être considéré comme élevé. Ce risque est encore péjoré en cas de nouvelles consommations d'alcool, qui vont favoriser la désinhibition comportementale et donc des passages à l'acte agressif. Le prévenu a entrepris un suivi psychothérapeutique auprès d'une psychologue et d'une psychiatre entre novembre 2012 et août 2014. Lors du suivi avec sa psychologue, Madame [...], un travail concernant sa problématique de jalousie et plus particulièrement la peur de la séparation a été entrepris. Elle décrit par ailleurs son patient comme étant « très engagé et motivé et conscient de sa problématique » et elle évoque des progrès de sa part. Quant à la Dre [...], psychiatre, elle travaillait davantage sur la consommation d'alcool de l'expertisé. L'appelant a finalement arrêté de se rendre à son suivi, sans donner d'explications à ses thérapeutes. Lors de son incarcération, un suivi psychothérapeutique au sens de l'art. 63 CP a été ordonné. Le Docteur [...], en charge de son suivi, a indiqué que l'appelant « adhérait au traitement et investissait la relation thérapeutique de manière active et adéquate » et qu'il « semblait s'efforcer de s'inscrire dans une alliance thérapeutique favorable, à s'approprier les espaces socio-professionnels qui lui sont proposés et à fournir les efforts nécessaires pour s'y adapter ». Enfin, il a déclaré que l'appelant « s'appropriait également son traitement psychothérapeutique et la nécessité de le poursuivre en y consentant librement ». L'ensemble des thérapeutes et du réseau de L.________ l’ont décrit comme étant investi dans le travail thérapeutique et conscient de sa problématique relationnelle et de toxiques. Néanmoins, conscient des conséquences judiciaires en cas de nouvelles consommations d'alcool, il en consommait sans en parler à son thérapeute et effectuait des « calculs » afin de savoir quand il pouvait consommer pour que ses tests s'alcoolémie restent négatifs. Par ailleurs, il surestimait ses capacités à faire face à ses troubles, se pensant capable de gérer ses consommations et ses relations sentimentales. Cet état de fait, de l'avis des experts, devait questionner sur l'authenticité de son investissement thérapeutique, sur la persistance en tout cas jusqu'à présent d'un déni des conséquences de sa problématique alcoolique et violente, et ainsi sur la pertinence d'instaurer un traitement institutionnel face à la mise en échec du traitement ambulatoire, ceci afin de garantir une sécurité maximale. Cependant, d'un point de vue psychiatrique, une telle prise en charge n'offrirait que peu de possibilité d'évolution. En effet, si l'expertisé était placé en milieu institutionnel, il se trouverait dans un environnement extrêmement contenant avec peu de possibilité de travailler sur sa problématique relationnelle, qui ne serait jamais mise en situation. De ce fait, il paraîtrait plus utile sur le plan psychiatrique, de mettre en place ce qui avait été instauré par le passé, tout en augmentant les garants de sécurité et en s'appuyant sur le fait que l'expertisé disait, à présent, reconnaître ses faiblesses quant à sa problématique alcoolique. Plus précisément, il s'agirait de mettre en place des contrôles d'abstinence aléatoires fréquents, associés si possible à traitement aversif de type Antabuse, qui pouvait être une plus-value pour garantir une abstinence à l'alcool. La poursuite d'un suivi psychothérapeutique ambulatoire rapproché auprès d'un thérapeute forensique, en lien avec ses consommations et son trouble de la personnalité était également essentiel, ceci dans le but poursuivre le travail psychothérapeutique qui avait été entrepris par le passé sur ses consommations et sur les aspects du trouble de la personnalité, tels que la dimension abandonnique ou la jalousie excessive. Les experts préconisaient ainsi la mise en place d'un traitement ambulatoire au sens de l'art. 63 CP. Compte tenu de l'échec de cette mesure lors de sa précédente condamnation, les experts ont relevé la nécessité de maintenir un cadre externe strict avec des contrôles aléatoires des consommations et d'imposer un maintien des soins ambulatoires. Entendue au cours des débats, la Dre Pascale Hegi a confirmé les termes de l'expertise. Elle a également confirmé que le risque de récidive était élevé et précisé que le prévenu devait trouver dans une relation affective dans laquelle il y aurait des problèmes tels qu'une rupture ou une tromperie et avoir consommé de l'alcool. La Dre Hegi a également déclaré que l'on pouvait s'attendre à des actes de violence dans le cadre d'une récidive. Elle a encore déclaré que seules des thérapies pouvaient aider L.________ à contenir ses pulsions de violence et une abstinence à l'alcool. Le cadre posé devait être strict avec des contrôles aléatoires. Deux thérapies devaient être mises en place, une axée sur les troubles de la personnalité et l'autre sur la problématique de l'addiction à l'alcool. Enfin, la Dre Hegi a indiqué que sans vouloir minimiser la gravité extrême d'une éventuelle récidive, il fallait la voir comme une rechute de l'expertisé dans son processus de guérison.</w:t>
      </w:r>
    </w:p>
    <w:p>
      <w:r>
        <w:rPr>
          <w:b/>
        </w:rPr>
        <w:t>E. 5.3.2</w:t>
      </w:r>
    </w:p>
    <w:p>
      <w:r>
        <w:t>En l’espèce, L.________ a été condamné à un traitement ambulatoire au sens de l’art. 63 CP par le Tribunal criminel d’arrondissement de La Côte en date du 13 juin 2016. Selon ses thérapeutes, il a su, en milieu fermé, se montrer collaborant et s’est soumis au traitement ordonné. Ainsi, compte tenu de sa bonne évolution, le prévenu a bénéficié d’une mesure TELEX, prononcée le 21 juillet 2021. A sa sortie, il a immédiatement noué une relation sentimentale avec W.________ et a repris sa consommation d’alcool et de cocaïne, s’arrangeant pour ne pas se faire prendre lors des contrôles auxquels il était astreint. A cela s’ajoute que, quand bien même il connaissait ses faiblesses et les risques liés à un engagement dans une nouvelle relation sentimentale, il n’en a pas parlé à ses thérapeutes. Ainsi, trois mois à peine après sa sortie de détention, et alors qu’il bénéficiait d’un suivi ambulatoire, il a tenté de s’en prendre à la vie de sa nouvelle compagne, de la même manière et pour les mêmes raisons futiles que celles pour lesquelles il avait déjà ôté la vie à [...] en octobre 2014. Selon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En l’occurrence les premiers juges ont mis fin au traitement ambulatoire (art. 63 CP) prononcé en 2016 en raison d’une grave récidive. Les experts retiennent qu'il n'y aurait pas de plus-value à une prise en charge institutionnelle (59 CP) par rapport à une mesure ambulatoire (63 CP). Toutefois, les mesures qu’ils proposent pour palier le risque de récidive, à savoir la mise en place de contrôles d’abstinence aléatoires fréquents associés à traitement aversif de type Antabuse et la poursuite d’un suivi psychothérapeutique ambulatoire rapproché auprès d’un thérapeute forensique, en lien avec ses consommations et son trouble de la personnalité, ne sont pas suffisantes. En effet, il a fallu à peine trois mois dès sa sortie de prison pour que, conscient de sa problématique, sur laquelle il travaille depuis des années, il boive, prenne de la cocaïne, se remette dans une relation sentimentale, et tente d’étrangler sa nouvelle compagne par jalousie. Par ailleurs, il a été sanctionné disciplinairement à trois reprises, pour avoir une fois consommé du cannabis et deux fois pour stockage de médicaments, ce qui démontre que, même dans un cadre strict et fermé, l’appelant persiste à consommer. Ainsi, si un point de vue thérapeutique une mesure ambulatoire à forme de l’art. 63 CP est préconisée par les experts, il faut tenir compte de l'aspect sécuritaire (cf. consid. 5.2.1 in fine supra). Or, comme on l’a vu, l’intimé présente un trouble de la personnalité, ainsi qu’un risque de récidive élevé. Si la Cour entend les explications des experts, notamment que L.________ doit être mis en situation s’il veut pouvoir évoluer, elle considère, vu ce qui précède, que ce n’est pas suffisant pour renoncer à prononcer un traitement institutionnel au sens de l’art. 59 CP. Dans ces circonstances, il appartient à la Cour de céans, pour des motifs sécuritaires et d'ordre public, qui entrent également en ligne de compte dans le choix de la mesure, de prononcer une mesure thérapeutique institutionnelle à forme de l'art. 59 CP. En définitive, la décision des premiers juges de révoquer le traitement ambulatoire ordonné le 13 juin 2016, prolongé par l’ordonnance de juge d’application des peines le 9 juin 2021 et d’ordonner un traitement institutionnel au sens de l’art. 59 CP en faveur de L.________ ne prête pas le flanc à la critique et peut être confirmée. A cet égard, le chiffre III/IV du dispositif communiqué aux parties contient une erreur manifeste en ce sens qu’il omet d’ordonner l’arrêt du traitement ambulatoire au sens de l’art. 63 CP prononcé par le Tribunal criminel de l’arrondissement de La Côte du 13 juin 2016 et prolongé par ordonnance de Juge d’application des peines du 9 juin 2021. En application de l’art. 83 CPP, le dispositif sera dès lors rectifié d’office sur ce point. 6. Conformément à l’art. 51 CP, la détention subie par l’appelant depuis le jugement de première instance doit être déduite de la peine prononcée.</w:t>
      </w:r>
    </w:p>
    <w:p>
      <w:r>
        <w:rPr>
          <w:b/>
        </w:rPr>
        <w:t>E. 7</w:t>
      </w:r>
    </w:p>
    <w:p>
      <w:r>
        <w:t>Au vu du risque de récidive élevé présenté par l’appelant, il se justifie, afin de garantir l’exécution de la peine infligée, d’ordonner son maintien en exécution anticipée de peine.</w:t>
      </w:r>
    </w:p>
    <w:p>
      <w:r>
        <w:rPr>
          <w:b/>
        </w:rPr>
        <w:t>E. 8</w:t>
      </w:r>
    </w:p>
    <w:p>
      <w:r>
        <w:t>En définitive, l’appel doit être rejeté et le jugement querellé confirmé. Me Alexa Landert, conseil juridique gratuit de W.________, a produit une liste d’opérations dans laquelle elle indique une activité nécessaire d’avocat de 08h05, ce qui est adéquat, sous réserve de la durée surévaluée de l’audience d’appel, qui sera réduite d’une heure. L’indemnité de défenseur d’office doit ainsi être fixée à 1’275 fr., montant auquel il convient d’ajouter des débours forfaitaires à concurrence de 2 % (et non 5 %) des honoraires admis (art. 19 al. 2 TDC, applicable par renvoi de l’art. 26a al. 6 TFIP), par 25 fr. 50, une vacation à 120 fr. et la TVA à 8,1 %, par 115 fr. 05, soit à un total de 1'535 fr. 55, TVA et débours inclus. Me Gilles Monnier, défenseur d’office d’L.________, a produit une liste d’opérations dans laquelle il indique une activité nécessaire d’avocat de 19h00 hors audience. Il convient d’y ajouter 1h30 de temps audience. Ainsi, l’indemnité de défenseur d’office sera fixée à 3'690 fr., montant auquel il convient d’ajouter des débours forfaitaires à concurrence de 2 % des honoraires admis (art. 19 al. 2 TDC, applicable par renvoi de l’art. 26a al. 6 TFIP), par 73 fr. 80, quatre vacations à 120 fr. et la TVA à 8,1 %, par 343 fr. 75, soit à un total de 4'587 fr. 55, TVA et débours inclus. Vu l’issue de la cause, les frais de la procédure d’appel, par 10'453 fr. 10, constitués de l’émolument de jugement et d’audience, par 4'330 fr. (art. 21 al. 1 et 2 TFIP [tarif des frais de procédure et indemnités en matière pénale du 28 septembre 2010 ; BLV 312.03.1]), et des indemnités dues au défenseur d’office et au conseil juridique gratuit, par 6'123 fr. 10 (1'535 fr. 55 + 4'587 fr. 55), seront mis à la charge de L.________, qui succombe (art. 428 al. 1 CPP). L.________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