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522 vom 6. Juni 2024</w:t>
      </w:r>
    </w:p>
    <w:p>
      <w:r>
        <w:t>VD Tribunal cantonal, 2024-06-06, FR</w:t>
      </w:r>
    </w:p>
    <w:p>
      <w:r>
        <w:rPr>
          <w:b/>
        </w:rPr>
        <w:t xml:space="preserve">Quelle: </w:t>
      </w:r>
      <w:r>
        <w:t>https://mcp.opencaselaw.ch/entscheid/vd_findinfo_Jug___2024___522</w:t>
      </w:r>
    </w:p>
    <w:p>
      <w:r>
        <w:t>FR: VD_FINDINFO Jug / 2024 / 522 du 6 juin 2024</w:t>
      </w:r>
    </w:p>
    <w:p>
      <w:r>
        <w:t>IT: VD_FINDINFO Jug / 2024 / 522 del 6 giugno 2024</w:t>
      </w:r>
    </w:p>
    <w:p>
      <w:pPr>
        <w:pStyle w:val="Heading2"/>
      </w:pPr>
      <w:r>
        <w:t>Regeste</w:t>
      </w:r>
    </w:p>
    <w:p>
      <w:r>
        <w:t>INDEMNITÉ{EN GÉNÉRAL}, REJET DE LA DEMANDE, DÉCISION D'IRRECEVABILITÉ | 382 al. 1 CPP (CH), 406 al. 1 let b CPP (CH), 429 al. 1 let. a CPP (CH), 429 al. 1 let. c CPP (CH), 432 CPP (CH)</w:t>
      </w:r>
    </w:p>
    <w:p>
      <w:pPr>
        <w:pStyle w:val="Heading2"/>
      </w:pPr>
      <w:r>
        <w:t>Erwägungen</w:t>
      </w:r>
    </w:p>
    <w:p>
      <w:r>
        <w:rPr>
          <w:b/>
        </w:rPr>
        <w:t>E. 1.1</w:t>
      </w:r>
    </w:p>
    <w:p>
      <w:r>
        <w:t>A.A.________ ayant retiré le pli recommandé contenant le jugement le 12 juin 2024, comme en atteste le relevé de la Poste (P. 23), le délai pour faire appel est arrivé à échéance le 24 juin 2024, soit le premier jour ouvrable suivant le 22 juin 2024. Partant, interjeté dans les formes et délais légaux (art. 399 CPP [Code de procédure pénale suisse du</w:t>
      </w:r>
    </w:p>
    <w:p>
      <w:r>
        <w:rPr>
          <w:b/>
        </w:rPr>
        <w:t>E. 1.2</w:t>
      </w:r>
    </w:p>
    <w:p>
      <w:r>
        <w:t>La conclusion de A.A.________ tendant à son acquittement est irrecevable faute d’intérêt juridique d’obtenir de l’autorité de recours ce qu’il a obtenu de l’instance inférieure (art. 382 al. 1 CPP). Ainsi, seuls les griefs portant sur l’allocation des conclusions civiles seront traités. Conformément aux articles 406 al. 1 let. b et 398 al. 5 CPP, qui renvoie à l’art. 308 al. 2 CPC (Code de procédure civile du 19 décembre 2008 ; RS 272), l’appel sera ainsi traité en procédure écrite.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2023 consid. 4.2). 3. 3.1 L’appelant sollicite l’allocation d’une indemnité de 5'000 fr. pour le préjudice subi (art. 429 al. 1 let. a et c CPP). 3.2 3.2.1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TF 6B_1246/2022 du 11 octobre 2023 consid. 9.1.2 ; TF 6B_278/2021 du 2 novembre 2021 consid. 1.2.1). Le Code de procédure pénale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qui doivent généralement consacrer leur propre temps à leur défense, même si elles sont défendues par un avocat. Toutefois, une indemnisation peut être accordée si des « circonstances particulières »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(TF 6B_1246/2022 du 11 octobre 2023 consid. 9.1.2 et les références citées). 3.2.2 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 TF 6B_1246/2022 précité consid. 9.1.4) Pour justifier un droit à l'indemnité visée par l'art. 429 al. 1 let. c CPP, l'intensité de l'atteinte à la personnalité doit être analogue à celle requise dans le contexte de l'art. 49 CO (loi fédérale du 30 mars 1911 complétant le Code civil suisse ; RS 220)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(TF 6B_1246/2022 précité consid. 9.1.5). La gravité objective de l'atteinte doit être ressentie par le prévenu comme une souffrance morale. Il incombe à ce dernier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(TF 6B_1246/2022 précité consid. 9.1.5). 3.3 En l’espèce, le premier juge a considéré, avec raison, qu’aucune indemnité au sens de l’art. 429 al. 1 let. a et c CPP ne pouvait être allouée à A.A.________, dans la mesure où il n’a pas eu recours à un avocat et où il n’a pas démontré une atteinte caractérisée à sa personnalité. Le temps passé par le prévenu à préparer sa défense n’est pas indemnisable compte tenu de la jurisprudence précitée et on ne voit pas que l’appelant – qui n’invoque du reste aucun motif à cet égard – puisse se prévaloir de circonstances particulières. En effet, la cause ne présente aucune complexité particulière et n’a ainsi pas nécessité un travail extraordinaire. Pour le surplus, l’appelant échoue à démontrer – et cela ne résulte pas du dossier – qu’il aurait subi une quelconque souffrance morale en lien avec la procédure, qui serait constitutive d’une atteinte grave à sa personnalité. La conclusion de A.A.________ tendant à l’allocation d’une indemnité de 5'000 fr. pour le préjudice subi doit ainsi également être rejetée. 4. 4.1 L’appelant sollicite l’allocation par B.________ d’une indemnité de 20'000 francs. 4.2 4.2.1 Selon l’art. 432 al. 1 CPP, le prévenu qui obtient gain de cause peut demander à la partie plaignante une juste indemnité pour les dépenses occasionnées par les conclusions civiles. Le code de procédure pénale limite le droit à l’indemnisation aux seules dépenses occasionnées par les conclusions civiles, et non pour l’ensemble des actes effectués dans le cadre de la procédure pénale (Moreillon/Parein-Reymond, Code de procédure pénale, 2 e éd., Bâle 2016, n. 3 ad art. 432 CPP). 4.2.2 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(cf. ATF 138 IV 248 consid. 5.3). Lorsque la partie plaignante ou le plaignant supporte les frais en application de l'art. 427 al. 2 CPP, une éventuelle indemnité allouée au prévenu peut en principe être mise à la charge de la partie plaignante ou du plaignant en vertu de l'art. 432 al. 2 CPP (TF 7B_16/2022 du 6 novembre 2023 consid. 3.2 et les références citées). 4.3 En l’espèce, la partie plaignante a, certes, pris des conclusions civiles mais on ne voit pas quelles dépenses l’appelant aurait dû consentir pour leur examen. Quant à l’art. 432 al. 2 CPP, le premier juge a estimé que la procédure s’était inscrite dans un conflit bien plus large entre A.A.________ et B.________. Cependant, ce seul fait n’était pas suffisant pour retenir que B.________ avait agi de manière téméraire, ce d’autant que A.A.________ a été libéré au bénéfice du doute. De surcroît, il a décidé de ne pas mettre les frais de première instance à la charge de la partie plaignante et de les laisser à la charge de l’Etat. Partant, c’est à bon droit qu’il a refusé d’allouer à l’appelant une indemnité sous la forme de l’art. 432 CPP.</w:t>
      </w:r>
    </w:p>
    <w:p>
      <w:r>
        <w:rPr>
          <w:b/>
        </w:rPr>
        <w:t>E. 5</w:t>
      </w:r>
    </w:p>
    <w:p>
      <w:r>
        <w:t>L’appelant sollicite que le témoin [...] lui verse une indemnité de 10'000 francs. Comme l’a retenu à juste titre l’autorité inférieure, le témoin n’a fait que remplir son devoir civique en venant déposer auprès de la police. En l’absence de base légale, une telle indemnité ne peut être allouée à l’appelant.</w:t>
      </w:r>
    </w:p>
    <w:p>
      <w:r>
        <w:rPr>
          <w:b/>
        </w:rPr>
        <w:t>E. 6</w:t>
      </w:r>
    </w:p>
    <w:p>
      <w:r>
        <w:t>. Au vu de ce qui précède, l’appel s’avère manifestement infondé de sorte qu’il n’est pas nécessaire d’interpeller les autres parties (art. 390 al. 2 CPP, applicable par renvoi de l’art. 406 al. 4 CPP).</w:t>
      </w:r>
    </w:p>
    <w:p>
      <w:r>
        <w:rPr>
          <w:b/>
        </w:rPr>
        <w:t>E. 7</w:t>
      </w:r>
    </w:p>
    <w:p>
      <w:r>
        <w:t>En définitive, l’appel de A.A.________ doit être rejeté, dans la mesure où il est recevable, et le jugement du 6 juin 2024 confirmé. Vu l’issue de la cause, les frais de la procédure d’appel, par 880 fr., constitués en l’espèce de l'émolument de jugement (art. 21 al. 1 et 3 TFIP [tarif des frais de procédure et indemnités en matière pénale du 28 septembre 2010 ; BLV 312.03.1]) seront mis à la charge de A.A.________,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