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516 vom 29. April 2024</w:t>
      </w:r>
    </w:p>
    <w:p>
      <w:r>
        <w:t>VD Tribunal cantonal, 2024-04-29, FR</w:t>
      </w:r>
    </w:p>
    <w:p>
      <w:r>
        <w:rPr>
          <w:b/>
        </w:rPr>
        <w:t xml:space="preserve">Quelle: </w:t>
      </w:r>
      <w:r>
        <w:t>https://mcp.opencaselaw.ch/entscheid/vd_findinfo_Jug___2024___516</w:t>
      </w:r>
    </w:p>
    <w:p>
      <w:r>
        <w:t>FR: VD_FINDINFO Jug / 2024 / 516 du 29 avril 2024</w:t>
      </w:r>
    </w:p>
    <w:p>
      <w:r>
        <w:t>IT: VD_FINDINFO Jug / 2024 / 516 del 29 aprile 2024</w:t>
      </w:r>
    </w:p>
    <w:p>
      <w:pPr>
        <w:pStyle w:val="Heading2"/>
      </w:pPr>
      <w:r>
        <w:t>Regeste</w:t>
      </w:r>
    </w:p>
    <w:p>
      <w:r>
        <w:t>ACTE PRÉPARATOIRE{DROIT PÉNAL}, ACTE PRÉPARATOIRE PUNISSABLE, PRÉSOMPTION D'INNOCENCE, FAUTE, CONDAMNATION, REJET DE LA DEMANDE, EXPULSION{DROIT PÉNAL}, FORMALISME EXCESSIF, DÉPENS, AVOCAT, HONORAIRES | 260bis CP, 47 CP, 49 CP, 66a al. 2 CP, 66a CP, 10 CPP (CH), 135 CPP (CH)</w:t>
      </w:r>
    </w:p>
    <w:p>
      <w:pPr>
        <w:pStyle w:val="Heading2"/>
      </w:pPr>
      <w:r>
        <w:t>Erwägungen</w:t>
      </w:r>
    </w:p>
    <w:p>
      <w:r>
        <w:rPr>
          <w:b/>
        </w:rPr>
        <w:t>E. 4.1</w:t>
      </w:r>
    </w:p>
    <w:p>
      <w:r>
        <w:t>Invoquant une violation du principe de proportionnalité, l’appelant s’oppose à ce qu’une peine privative de liberté d’ensemble de 4 ans soit prononcée, dans l’hypothèse où il devait être condamné pour actes préparatoires délictueux.</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4.3</w:t>
      </w:r>
    </w:p>
    <w:p>
      <w:r>
        <w:t>En l’espèce, les éléments à charge et à décharge retenus par les premiers juges sont adéquats et la Cour peut s’y référer pleinement (cf. jgmt du 29 avril 2024, p. 32). Pour le surplus, on relèvera que le prévenu n’a pas fait montre d’une prise de conscience de la gravité de ses actes malgré l’écoulement du temps. Eu égard au risque d’actes violents présenté par le prévenu, les infractions en cause doivent toutes être sanctionnées d’une peine privative de liberté. Les actes préparatoires à meurtre constituent l’infraction la plus grave. Elle justifie le prononcé d’une peine privative de liberté de 3 ans. Celle-ci sera augmentée de 6 mois pour sanctionner les menaces qualifiées, en concours réel (cas 2.1 et 2.2), d’un mois pour la tentative de contrainte (cas 2.3) et de 3 mois pour la violation du devoir d’assistance ou d’éducation (cas 2.3). Il y a encore lieu de tenir compte de la révocation du sursis accordé le 24 juillet 2023 et de l’exécution de la peine de 3 mois y afférente. Partant, la peine privative de liberté de 4 ans prononcée par les premiers juges doit être confirmée.</w:t>
      </w:r>
    </w:p>
    <w:p>
      <w:r>
        <w:rPr>
          <w:b/>
        </w:rPr>
        <w:t>E. 5.1</w:t>
      </w:r>
    </w:p>
    <w:p>
      <w:r>
        <w:t>L’appelant conteste son expulsion. Il invoque un cas de rigueur pour demeurer en Suisse.</w:t>
      </w:r>
    </w:p>
    <w:p>
      <w:r>
        <w:rPr>
          <w:b/>
        </w:rPr>
        <w:t>E. 5.2</w:t>
      </w:r>
    </w:p>
    <w:p>
      <w:r>
        <w:t>Aux termes de l'art. 66a al. 1 let. l CP, le juge expulse de Suisse, pour une durée de cinq à quinze ans, l'étranger qui est condamné pour actes préparatoires délictueux (art. 260bis al. 1 et 3 CP), quelle que soit la quotité de la peine prononcée à son encontre.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TF 6B_1256/2023 du 19 avril 2024 consid. 4.2 ; TF 6B_1209/2023 du 26 février 2024 consid. 2.3). Selon la jurisprudence, pour se prévaloir du droit au respect de sa vie privée au sens de l'art.</w:t>
      </w:r>
    </w:p>
    <w:p>
      <w:r>
        <w:rPr>
          <w:b/>
        </w:rPr>
        <w:t>E. 5.3</w:t>
      </w:r>
    </w:p>
    <w:p>
      <w:r>
        <w:t>En l’espèce, la Cour relève à l’instar des premiers juges que, sous l’angle de la garantie au respect de la vie familiale de l’appelant, ses seuls liens qui subsistent avec la Suisse sont ses filles, âgées de</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 ATF 134 II 10 consid. 4.3 ; TF 6B_1256/2023 précité consid. 4.2.1 ; TF 6B_922/2023 du 19 mars 2024 consid. 1.6.3). Un séjour légal de dix années suppose en principe une bonne intégration de l'étranger (cf. ATF 149 I 207 consid. 5.3.2 ;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 ATF 144 II 1 consid. 6.1 ; ATF 139 I 330 consid. 2.1 et les arrêts cités).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6B_922/2023 précité consid. 1.6.3).</w:t>
      </w:r>
    </w:p>
    <w:p>
      <w:r>
        <w:rPr>
          <w:b/>
        </w:rPr>
        <w:t>E. 10</w:t>
      </w:r>
    </w:p>
    <w:p>
      <w:r>
        <w:t>et 7 ans, avec lesquelles les relations ont toutefois été durablement rompues par l’exécution d’une peine en raison d’infractions dont elles ont également été victimes (art. 123 ch. 2 CP, art. 22 al. 1 ad 181 et 219 CP). Pour le reste, la famille de B.________ se trouve à l’étranger, principalement en Equateur et aux Etats-Unis, où le prévenu a d’ailleurs vécu durablement. Ses liens familiaux en Suisse sont dès lors ténus. Sous l’angle de son droit au respect de sa vie privée, on relèvera que l’appelant n’est arrivé sur le territoire helvétique qu’en 2016, à l’âge de 34 ans. Au bénéfice d’un CFC, il était toutefois sans emploi lors de son arrestation, après avoir exercé dans divers établissements hôteliers. Le prévenu ne peut dès lors pas se prévaloir de liens sociaux et professionnels particulièrement intenses avec la Suisse. Sur le vu de ce qui précède, il est permis de douter de la réalisation d’un cas de rigueur, dès lors que l’expulsion de B.________ ne le placerait pas dans une situation personnelle grave. Quoi qu’il en soit, même à supposer que celui-ci soit réalisé, il est manifeste que l’intérêt public à l’expulsion l’emporte sur l’intérêt privé du prévenu à rester en Suisse, compte tenu de la gravité des infractions commises et du risque de récidive d’actes de même nature qu’il présente, référence étant faite à ses antécédents et son manque d’introspection. Enfin, les moyens de communication modernes permettront à l’appelant d’avoir des échanges avec ses filles et l’on ne discerne aucun motif s’opposant à sa resocialisation en Espagne, où il a d’ailleurs séjourné et travaillé avant de venir en Suisse. C’est donc à bon droit que l’autorité inférieure a ordonné l’expulsion du prévenu, la durée de 8 ans étant par ailleurs adéquate au regard de sa culpabilité et de la nécessité de maintenir, à long terme, un lien avec ses filles. II. Appel de Me Jérôme Reymond 6. 6.1 Me Jérôme Reymond a formé appel pour contester le montant de l’indemnité de défenseur d’office de 4'402 fr. 85 qui lui a été allouée par les premiers juges. Invoquant un formalisme excessif, il relève avoir envoyé sa liste d’opérations au greffe à 14h03, au lieu de 14h00, alors qu’un court délai lui avait été imparti pour corriger sa liste d’opérations. Par ailleurs, l’indemnité octroyée par le Tribunal de première instance ne tiendrait pas compte de toutes les auditions auxquels lui-même ou son avocate-stagiaire avait assisté. 6.2 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de la responsabilité qu'il a assumée (TF 6B_810/2010 consid. 2 ; TF 6B_745/2009 consid. 10.1 ; TF 6B_273/2009 consid. 2.1 ; TF 6B_102/2009 consid. 2). A condition d'être équitable, il est admis que la rémunération de l'avocat d'office puisse être inférieure à celle du mandataire choisi (TF 6B_745/2009 consid. 10.1 ; TF 6B_273/2009 consid. 2.1 ; TF 6B_960/2008 consid. 1.1 ; TF 6B_947/2008 consid. 2). Elle doit non seulement couvrir les frais généraux de l'avocat, mais aussi lui permettre de réaliser un gain modeste et non seulement symbolique (ATF 132 I 201 consid. 8.6). Dans le canton de Vaud, l'indemnité horaire de l'avocat d'office breveté est usuellement fixée à 180 fr., TVA en sus, et celle de l'avocat stagiaire à 110 fr., en règle générale sans TVA (ATF 132 I 201 ; TF 6B_273/2009 consid. 2.1; cf. aussi art. 2 al. 1 RAJ et ATF 137 III 185). 6.3 En l’espèce, l’autorité de première instance a statué d’office sur les opérations accomplies par Me Jérôme Reymond, faute de liste d’opérations remaniée produite dans le délai imparti à 14h00 lors des débats. Elle a relevé qu’il avait certes envoyé sa liste d’opérations à 14h02, mais que celle-ci avait été reçue dans le système informatique de l’Etat de Vaud à 15h35. En cas de transmission électronique, le moment déterminant pour l’observation d’un délai est celui où est établi l’accusé de réception qui confirme que la partie a accompli toutes les étapes nécessaires à la transmission (art. 91 al. 3 CPP). En l’occurrence, Me Jérôme Reymond a produit un accusé de réception, daté du 29 avril 2024, à 14h04, duquel il ressort que la remise aux destinataires ou groupe est terminée. Il s’ensuit que les premiers juges ont fait preuve de formalisme excessif en statuant d’office sur l’indemnité de Me Jérôme Reymond, alors que celui-ci avait envoyé sa liste d’opérations à 14h03 (P. 89/2/8) au lieu de 14h00, alors que le délai pour déposer une liste d’opérations corrigée était très court. Il sied également de constater que l’autorité précédente n’a pas tenu compte de certaines opérations essentielles, telles des participations à des auditions de police ou à une audition devant le Tribunal des mesures de contrainte. Partant, il convient d’arrêter l’indemnité en faveur de Me Jérôme Reymond sur la base de la liste d’opérations adressée par le courriel le 29 avril 2023 au tribunal de première instance, qui est adéquate (P. 89/2/7). Ainsi, il y a lieu de tenir compte de 11h30 (11.50h) d’activité d’avocat et de 15h40 (15.67h) d’activité d’avocate-stagiaire en 2023, d’y ajouter les débours forfaitaires de 5 %, cinq vacations (deux à 120 fr. et trois à 80 fr.) et la TVA au taux de 7.7 %. L’indemnité d’office s’élève donc à 4'806 fr. 65 en 2023. Pour l’année suivante, il sera tenu compte de 8h00 d’activité d’avocat et de 23h30 (23.50h) d’activité d’avocate-stagiaire, auxquelles s’ajoutent les débours forfaitaires de 5 %, cinq vacations (deux à 120 fr. et trois à 80 fr.) et la TVA au taux de 8.1 %. L’indemnité d’office s’élève donc à 5'087 fr. 45 en 2024. Après ajout de la somme de 37 fr. 65, correspondant à une facture adressée par la Fondation de Nant, l’indemnité de Me Jérôme Reymond s’élève au total à 9’931 fr. 75, TVA et débours compris. III. Conclusion, frais &amp; indemnités 7. En définitive, l’appel de B.________ doit être rejeté. L’appel de Me Jérôme Reymond doit être partiellement admis et le chiffre XI du dispositif du jugement entrepris réformé dans le sens du considérant qui précède. Le jugement attaqué doit être confirmé pour le surplus. Me Jérôme Reymond, défenseur d’office de B.________, a produit une liste des opérations faisant état de 6h12 d’activité nécessaire d’avocat breveté et de 14h16 d’activité d’avocate-stagiaire, ce qui est adéquat. Les honoraires s’élèvent ainsi à 2'685 fr. 35 ([6h12 x 180 fr.] + [14h16 x 110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53 fr. 70, une vacation forfaitaire de 120 fr. (art. 3bis al. 3 RAJ) et deux vacations forfaitaires à 80 fr., ainsi que la TVA au taux de 8,1 % sur le tout, par 244 fr. 55. L’indemnité s’élève ainsi à 3'263 fr. 60 au total. Me Sarah El-Abshihy, conseil juridique gratuit de A.T.________, a produit une liste d’opérations dans laquelle il indique une activité nécessaire d’avocat, hors temps d’audience, de 9h56, ce qui est adéquat. On y ajoutera 45 minutes pour tenir compte de la durée effective des débats d’appel. L’indemnité due sera dès lors fixée à 1’923 fr. (10h41 x 180 fr.), plus une vacation forfaitaire de 120 fr., des débours forfaitaires, par 38 fr. 45, et la TVA à 8,1 % sur le tout, par 168 fr. 60. L’indemnité s’élève ainsi à 2'250 fr. 05 au total. Les frais de procédure d’appel s’élèvent à 2'600 francs. Ils sont constitués de l’émolument d’audience, par 400 fr. (art. 21 al. 2 TFIP), et de l’émolument de jugement, par 2’200 fr. (art. 21 al. 1 TFIP). B.________, qui succombe (art. 428 al. 1 CPP), supportera trois quarts de ces frais, par 1’950 francs. Il supportera en sus l’indemnité de son défenseur d’office et l’indemnité de conseil juridique gratuit. Le solde des frais, soit 650 fr., sera laissé à la charge de l’Etat. B.________ sera tenu de rembourser à l’Etat de Vaud le montant de l’indemnité d’office allouée à son défenseur d’office dès que sa situation financière le permettra (art. 135 al. 4 CPP). 8. Pour le surplus, le dispositif communiqué aux parties le 25 octobre 2024 omettant à tort de préciser que l’appel de Me Jérôme Reymond est partiellement admis, et que les trois quarts des frais de la procédure d’appel sont mis à la charge de B.________, il convient de le rectifier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