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497 vom 29. April 2024</w:t>
      </w:r>
    </w:p>
    <w:p>
      <w:r>
        <w:t>VD Tribunal cantonal, 2024-04-29, FR</w:t>
      </w:r>
    </w:p>
    <w:p>
      <w:r>
        <w:rPr>
          <w:b/>
        </w:rPr>
        <w:t xml:space="preserve">Quelle: </w:t>
      </w:r>
      <w:r>
        <w:t>https://mcp.opencaselaw.ch/entscheid/vd_findinfo_Jug___2024___497</w:t>
      </w:r>
    </w:p>
    <w:p>
      <w:r>
        <w:t>FR: VD_FINDINFO Jug / 2024 / 497 du 29 avril 2024</w:t>
      </w:r>
    </w:p>
    <w:p>
      <w:r>
        <w:t>IT: VD_FINDINFO Jug / 2024 / 497 del 29 aprile 2024</w:t>
      </w:r>
    </w:p>
    <w:p>
      <w:pPr>
        <w:pStyle w:val="Heading2"/>
      </w:pPr>
      <w:r>
        <w:t>Regeste</w:t>
      </w:r>
    </w:p>
    <w:p>
      <w:r>
        <w:t>EXPULSION{DROIT PÉNAL}, CAS DE RIGUEUR, NON-REFOULEMENT | 66a al. 1 let. b CP, 66a al. 2 CP</w:t>
      </w:r>
    </w:p>
    <w:p>
      <w:pPr>
        <w:pStyle w:val="Heading2"/>
      </w:pPr>
      <w:r>
        <w:t>Erwägungen</w:t>
      </w:r>
    </w:p>
    <w:p>
      <w:r>
        <w:rPr>
          <w:b/>
        </w:rPr>
        <w:t>E. 1</w:t>
      </w:r>
    </w:p>
    <w:p>
      <w:r>
        <w:t>Interjetés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T.________ ne conteste plus les faits, la qualification juridique de ceux-ci et la peine prononcée, mais uniquement la mesure d’expulsion du territoire suisse. Il invoque le principe de non-refoulement. Il soutient que sa vie serait en danger s’il devait être expulsé vers l’Irak, son père ayant quitté ce pays pour des raisons politiques. Son frère cadet et que son oncle se seraient en outre fait tuer dans des attaques terroristes.</w:t>
      </w:r>
    </w:p>
    <w:p>
      <w:r>
        <w:rPr>
          <w:b/>
        </w:rPr>
        <w:t>E. 3.2.1</w:t>
      </w:r>
    </w:p>
    <w:p>
      <w:r>
        <w:t>En application de l’art. 66a al. 1 let. b aCP, dont la nouvelle teneur en vigueur depuis le 1 er juillet 2023 n’est pas plus favorable à l’appelant (cf. art. 2 al. 1 CP), le juge expulse de Suisse l’étranger qui est condamné pour agression (art. 134),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w:t>
      </w:r>
    </w:p>
    <w:p>
      <w:r>
        <w:rPr>
          <w:b/>
        </w:rPr>
        <w:t>E. 3.2.2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 1.4.5 ; TF 6B_1015/2021 du 2 novembre 2022 consid. 1.2.1 ; TF 6B_38/2021 du 14 février 2022 consid. 5.5.3). Les éventuels obstacles à l'expulsion, au sens de l'art. 66d al. 1 CP, doivent déjà être pris en compte au moment du prononcé de l'expulsion, pour autant que ces circonstances soient stables et puissent être déterminées de manière définitive (TF 6B_536/2023 du 2 octobre 2023 consid. 3.2.3 ; TF6B_884/2022 du 20 décembre 2022 consid. 3.2.1). 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de la loi fédérale du 26 juin 1998 sur l’asile (LAsi ; RS 142.31) (let. a) et lorsque d’autres règles impératives du droit international s’opposent à l’expulsion (let. b). Selon l’art. 66d al. 2 CP, lorsqu’elle prend sa décision, l’autorité cantonale compétente présume qu’une expulsion vers un Etat que le Conseil fédéral a désigné comme un Etat sûr au sens de l’art. 6a al. 2 LAsi ne contrevient pas à l’art. 25 al. 2 et 3 Cst. Il existe deux types de conditions au report de l'exécution de l'expulsion, l'une relative, qui suppose que le statut de réfugié ait été d'abord reconnu par la Suisse à l'étranger expulsé (art. 66d al. 1 let a CP, « flüchtlingsrechtliche Nonrefoulement-Prinzip »), et l'autre absolue, qui s'applique à toute personne quel que soit son statut (art. 66d al. 1 let. b CP, « menschenrechtliche Nonrefoulement-Prinzip ») (TF 6B_38/2021 précité consid. 5.5.4 ; Perrier Depeursinge/Monod, Commentaire romand, Code pénal I, 2017, n. 5 ad art. 66d CP). L'exception au principe de non-refoulement qui protège les réfugiés (art. 66d al. 1 let. a, 2 e phrase, CP) doit être interprétée restrictivement, l'auteur devant en particulier représenter un danger pour la collectivité du pays d'accueil (TF 6B_38/2021 précité ; Schlegel, Schweizerisches Strafgesetzbuch Handkommentar, 4e éd. 2020, n. 2 ad art. 66d CP). Le principe de non-refoulement découlant des normes de droit international (« menschenrechtliche Nonrefoulement-Prinzip ») est absolu, en ce sens qu'il vaut indépendamment des infractions commises ou du potentiel de dangerosité de l'auteur (TF 6B_38/2021 précité ; Vetterli, StGB Annotierter Kommentar, 2020, n. 6 ad art. 66d CP ; Schlegel, op. cit., n. 3 ad art. 66d CP).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(cf. aussi art. 33 al. 1 et 2 de la Convention relative au statut des réfugiés). Pour la notion de crime ou de délit particulièrement grave, il convient de se référer à l'art. 65 LAsi, qui renvoie notamment à l'art. 63 al. 1 let. b LEI (TF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 de manière très grave »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 ; TF 6B_38/2021 précité ; TF 6B_551/2021 précité ; cf. aussi TF 2C_396/2017 du 8 janvier 2018 consid. 6.1). Seul un crime particulièrement grave autorise à passer outre le principe de non-refoulement. Une exception à ce principe ne se justifie en effet que lorsque l'auteur constitue un danger pour le public de l'Etat de refuge. Ce danger ne peut pas être admis sur la seule base de la condamnation pour des crimes particulièrement graves ; l'étranger doit encore présenter un risque de récidive concret, un risque uniquement abstrait ne suffisant pas (ATF 139 II 65 consid. 5.4 et 6.4). Une peine privative de liberté dépassant un an L'art.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précité consid. 3.2.3 et les références citées).</w:t>
      </w:r>
    </w:p>
    <w:p>
      <w:r>
        <w:rPr>
          <w:b/>
        </w:rPr>
        <w:t>E. 3.3</w:t>
      </w:r>
    </w:p>
    <w:p>
      <w:r>
        <w:t>En l’espèce, l’appelant est arrivé en Suisse à l’âge de 10 ans et y a toujours vécu depuis lors. Il a suivi la majeure partie de sa scolarité en Suisse. Sa famille proche ainsi que son fils habitent en Suisse et ses attaches sociales se trouvent de ce pays. Il n’a plus de famille en Irak et n’y a jamais travaillé ni même vécu depuis qu’il est adulte. Il ne parle pas l’arabe mais seulement le turkmène. Les Turkmènes sont une minorité ethnique en Irak. Ils ont fait l’objet de persécutions de la part du gouvernement ainsi que de l’Etat islamique. L’insertion de l’appelant dans ce pays ne seraient ainsi pas aisée. On précisera encore que le Département fédéral des affaires étrangères déconseille de se rendre en Irak en raison des risques d’enlèvements et d’attentats. Il faut ainsi admettre que l’expulsion de l’appelant le placerait dans une situation personnelle grave (première condition d’application de l’art. 66a al. 2 CP). Il convient encore de faire la balance entre l’intérêt privé de l’appelant à demeurer en Suisse et l’intérêt public à son expulsion (deuxième condition d’application de l’art. 66a al. 2 CP). L’intérêt privé de l’appelant, qui découle des éléments exposés ci-dessus, doit être relativisé dans la mesure où il n’a pas obtenu de certificat de fin d’école obligatoire, n’a pas de formation professionnelle, n’a jamais tenu un emploi sur la durée et n’a subsisté que grâce aux prestations de l’aide sociale avant son incarcération. Il n’a en outre pas reconnu son fils alors que celui-ci est âgé de trois ans et demi, ne l’a jamais entretenu et ne vivait pas avec lui avant d’être en détention. Présente cause comprise, l’appelant a été condamné pénalement à quatre reprises, chaque condamnation ayant été sanctionnée par une peine privative de liberté. L’intégration de l’appelant en Suisse est un échec. S’agissant de son intégration en Irak, bien que probablement compliquée, elle n’est pas impossible puisque la communauté Turkmène est l’une des principales minorités ethniques de ce pays. Pour ce qui est des persécutions subies par cette communauté, il convient de rappeler que l’Etat islamique, qui s’en est pris aux Turkmènes d’Irak, a perdu la majorité des territoires qu’il contrôlait par le passé et seules des petites factions de ce groupe subsistent à ce jour. Interrogé au sujet des risques pour sa vie qu’il a allégué en cas d’expulsion, l’appelant, qui soutient que sa famille serait détestée en Irak et que son père aurait dû quitter le pays pour des raisons politiques, n’a pas été en mesure d’expliquer qui en voudrait à sa famille et pour quelles raisons. Les documents qu’il a produits ne permettent au demeurant pas d’établir des violences ciblées subies par sa famille. Le certificat attestant du décès du frère cadet de l’appelant le 7 juin 2009 à la suite d’un acte terroriste ainsi que l’attestation médicale rapportant les lésions constatées sur l’oncle de l’appelant le 9 octobre 2008 après que celui-ci avait été kidnappé (P. 148/4) ne permettent pas de déterminer si ceux-ci ont été spécifiquement ciblés ou s’ils ont été des victimes malheureuses indiscriminées dans un contexte de conflit armé et d’instabilité politique. Le certificat attestant du décès d’un autre oncle de l’appelant le 16 novembre 2021 ne spécifie pas la cause du décès (P. 147/2), si bien qu’il ne peut rien en être tiré. S’agissant des photographies montrant l’incendie de la maison de la famille de l’appelant en Irak (P. 148/5 et 6), celles-ci ne démontrent pas que leur maison aurait été visée en particulier – l’appelant a d’ailleurs déclaré lors des débats d’appel que leur maison n’avait pas été la seule à être détruite – ni que l’incendie aurait été d’origine criminelle. Pour finir, il doit être souligné que l’expulsion prononcée est de durée limitée puisqu’elle n’est que de 5 ans et n'empêchera pas l’appelant d'entretenir un contact avec sa famille par le biais des moyens de communication modernes (ATF 144 I 91 consid. 5.1 ; TF 6B_1027/2018 du 7 novembre 2018 consid. 1.5.2). L’intérêt public en faveur de l’expulsion de l’appelant du territoire suisse est considérable. Les infractions qu’il a commises sont graves. Il n’a pas hésité à s’en prendre à l’intégrité physique de plusieurs personnes, que ça soit sa compagne et mère de son enfant ou de parfaits inconnus, gratuitement et sans le moindre scrupule. Il a plusieurs antécédents violents. Son comportement en détention est très mauvais, les sanctions disciplinaires, notamment pour des actes violents, s’étant succédées sans discontinuer. L’appelant n’arrive manifestement pas à gérer ses émotions. Les condamnations n’ont eu aucune influence sur son comportement et sa prise de conscience est très limitée. Le risque de récidive de l’appelant pour des infractions violentes est ainsi extrêmement élevé et il présente un danger important pour la population. Au demeurant, la peine privative de liberté à laquelle l’appelant a été condamné dépasse une année, ce qui pourrait, le cas échéant, permettre une révocation de son autorisation de séjour sur la base de l’art. 63 al. 1 let. a cum art. 62 al. 1 let. b LEI (cf. ATF 139 I 145 consid. 2.1, selon lequel constitue une « peine privative de liberté de longue durée » au sens de l’art. 62 al. 1 let. b LEI toute peine dépassant un an d’emprisonnement). En outre, en s’en prenant à l’intégrité physique de tiers, l’appelant a porté très gravement atteinte à la sécurité et l’ordre publics suisses. Il ne peut ainsi être mis au bénéfice du principe de non-refoulement (cf. art. 66d al. 1 CP, 5 al. 2 et 65 LAsi et 63 al. 1 let. b LEI). Au vu de ce qui précède, l’intérêt public à l’expulsion l’emporte sur l’intérêt privé de l’appelant à demeurer en Suisse. Il convient de confirmer l’expulsion du territoire suisse d’T.________ pour une durée de cinq ans, ainsi que son inscription dans le Système d’information Schengen (SIS). 4. Conformément à l’art. 51 CP, la détention subie depuis le jugement de première instance sera déduite de la peine privative de liberté prononcée contre T.________. Pour garantir l’exécution de la peine et compte tenu du risque de récidive présenté par l’appelant, son maintien en exécution anticipée de peine sera ordonné. 5. En définitive, l’appel doit être rejeté et le jugement entrepris confirmé. Me Elise Deillon-Antenen a produit une liste des opérations faisant état de 10h55 d’activité d’avocat pour la procédure d’appel. Il n’y a pas lieu de s’en écarter, si ce n’est pour réduire le poste relatif aux débats d’appel à 30 minutes afin de tenir compte de la durée effective de l’audience. Les honoraires s’élèvent à 1'695 fr., correspondant à 9h25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33 fr. 90, une vacation forfaitaire de 120 fr. (art. 3bis al. 3 RAJ), ainsi que la TVA au taux de 8,1 % sur le tout, par 149 fr. 75. L’indemnité s’élève ainsi à 1'998 fr. 65. Les frais de procédure s’élèvent à 5’038 fr. 65. Ils sont constitués de l’émolument de jugement, par 2’640 fr. (art. 21 al. 1 TFIP), de l’émolument d’audience, par 400 fr. (art. 21 al. 2 TFIP), et de l’indemnité d’office arrêtée ci-dessus. Ils seront mis à la charge d’T.________ qui succombe (art. 428 al. 1 CPP). T.________ sera tenu de rembourser à l’Etat de Vaud le montant de l’indemnité d’office allouée à son défenseur d’office dès que sa situation financière le permettra (art. 135 al. 4 CPP).</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w:t>
      </w:r>
    </w:p>
    <w:p>
      <w:r>
        <w:rPr>
          <w:b/>
        </w:rPr>
        <w:t>E. 13</w:t>
      </w:r>
    </w:p>
    <w:p>
      <w:r>
        <w:t>mars 2020 consid. 2.1.3).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