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493 vom 26. Januar 2024</w:t>
      </w:r>
    </w:p>
    <w:p>
      <w:r>
        <w:t>VD Tribunal cantonal, 2024-01-26, FR</w:t>
      </w:r>
    </w:p>
    <w:p>
      <w:r>
        <w:rPr>
          <w:b/>
        </w:rPr>
        <w:t xml:space="preserve">Quelle: </w:t>
      </w:r>
      <w:r>
        <w:t>https://mcp.opencaselaw.ch/entscheid/vd_findinfo_Jug___2024___493</w:t>
      </w:r>
    </w:p>
    <w:p>
      <w:r>
        <w:t>FR: VD_FINDINFO Jug / 2024 / 493 du 26 janvier 2024</w:t>
      </w:r>
    </w:p>
    <w:p>
      <w:r>
        <w:t>IT: VD_FINDINFO Jug / 2024 / 493 del 26 gennaio 2024</w:t>
      </w:r>
    </w:p>
    <w:p>
      <w:pPr>
        <w:pStyle w:val="Heading2"/>
      </w:pPr>
      <w:r>
        <w:t>Regeste</w:t>
      </w:r>
    </w:p>
    <w:p>
      <w:r>
        <w:t>VIOLATION DES DEVOIRS EN CAS D'ACCIDENT, SOUSTRACTION À LA PRISE DE SANG, CONSTATATION DES FAITS, FIXATION DE LA PEINE | 47 CP, 51 al. 3 LCR, 91a al. 1 LCR, 92 al. 1 LCR, 10 CPP (CH)</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J.________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w:t>
      </w:r>
    </w:p>
    <w:p>
      <w:r>
        <w:t>L’appelante a réitéré à l’audience sa réquisition tendant à la mise en œuvre d’une expertise psychiatrique. Selon elle, il existerait une véritable dichotomie entre les infractions retenues à son encontre et l’attitude générale qui serait la sienne dans la vie de tous les jours, ce qui ne s’expliquerait qu’en raison du choc émotionnel qu’elle aurait subi ensuite du cambriolage de son appartement peu avant les faits qui lui sont reprochés. Une expertise psychiatrique permettrait d’établir que ce choc émotionnel aurait eu une influence sur le déroulement des événements, appréciation qui se justifierait compte tenu de l’attestation médicale établie le24 juillet 2023 par le Dr [...], psychiatre et psychothérapeute, lequel a indiqué que « l’être humain peut rester perturbé psychologiquement pendant plusieurs jours » ensuite d’un violent choc émotionnel.</w:t>
      </w:r>
    </w:p>
    <w:p>
      <w:r>
        <w:rPr>
          <w:b/>
        </w:rPr>
        <w:t>E. 3.1</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réf. cit.).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réf. cit., JdT 2015 I 115 ; TF 6B_1331/2020 du 18 janvier 2021 consid. 1.1 ; TF 6B_818/2020 du 18 janvier 2021 consid. 2.1).</w:t>
      </w:r>
    </w:p>
    <w:p>
      <w:r>
        <w:rPr>
          <w:b/>
        </w:rPr>
        <w:t>E. 3.2</w:t>
      </w:r>
    </w:p>
    <w:p>
      <w:r>
        <w:t>En l’espèce, l’attestation établie par le Dr [...] dont se prévaut l’appelante est dépourvue de toute force probante. Elle a été rédigée à la demande de celle-ci le 24 juillet 2023 et n’est donc absolument pas à même d’établir l’état psychologique dans lequel elle se trouvait lors des événements survenus le 17 décembre 2022, soit près de huit mois auparavant. Le médecin ne mentionne au surplus l’existence d’aucun trouble psychiatrique dont souffrirait l’appelante au moment de l’établissement de son attestation. Ce document ne fait que décrire des généralités sur les effets potentiels d’un choc émotionnel. Cela étant, il n’existe pas le moindre indice qui permettrait de douter de la responsabilité pénale de l’appelante au moment des faits. [...], amie de l’appelante, entendue à l’audience de première instance et avec laquelle elle a mangé au restaurant le soir des faits, a déclaré qu’elle allait bien lorsqu’elle se sont quittées (cf. jugt. p. 3). Au demeurant, il est pour le moins surprenant, pour ne pas dire totalement invraisemblable, que l’appelante ait été victime le soir des faits, comme elle le prétend, d’un malaise aussi important en lien avec un violent traumatisme psychique (crise de panique), sans qu’elle ait jugé nécessaire de consulter le moindre médecin. Une appréciation anticipée des preuves conduit donc à rejeter cette réquisition de preuve – au demeurant présentée pour la première fois en appel –, qui est inutile.</w:t>
      </w:r>
    </w:p>
    <w:p>
      <w:r>
        <w:rPr>
          <w:b/>
        </w:rPr>
        <w:t>E. 4</w:t>
      </w:r>
    </w:p>
    <w:p>
      <w:r>
        <w:t>L’appelante invoque une constatation inexacte et erronée des faits et conteste s’être rendue coupable d’entrave aux mesures de constatation de l’incapacité de conduire et de violation des obligations en cas d’accident. Elle soutient que l’autorité intimée n’aurait pas tenu compte de ses déclarations et explications, ni de celles de la témoin [...], ni du rapport médical du Dr [...], qui attesteraient du fait qu’elle aurait eu un malaise. Elle ne conteste pas avoir eu un accident le 17 décembre 2022, mais conteste en revanche s’être dérobée au contrôle de son état physique et avoir intentionnellement violé ses devoirs en cas d’accident. Elle réitère qu’elle aurait été prise de vertiges puis qu’elle aurait fait un malaise lors du trajet, alors qu’elle se sentait bien auparavant. Elle aurait été victime d’une crise de panique liée à un événement traumatisant qu’elle avait vécu le jour précédent, savoir qu’elle s’était remémorée le cambriolage qui avait été commis à son domicile, ce qui aurait conduit à ce qu’elle perde conscience de la situation. Elle n’aurait pas eu l’intention de se soustraire à un contrôle : si elle était partie sans faire appel à la police, ce serait parce qu’elle ne se souvenait pas de ce qui venait de se passer ; elle n’aurait pas senti le choc et ce serait son ami qui lui aurait fait remarquer, plus tard, que son véhicule avait subi des dégâts. L’appelante se prévaut en outre d’une erreur sur l’illicéité, ce qui devrait exclure selon elle toute condamnation pour violation des obligations en cas d’accident. Elle aurait été certaine qu’il n’était pas nécessaire d’aviser la police pour des dégâts uniquement matériels ayant vécu auparavant un événement similaire alors qu’elle était passagère dans le véhicule d’une amie.</w:t>
      </w:r>
    </w:p>
    <w:p>
      <w:r>
        <w:rPr>
          <w:b/>
        </w:rPr>
        <w:t>E. 4.1.1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et les réf.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4.1.2</w:t>
      </w:r>
    </w:p>
    <w:p>
      <w:r>
        <w:t>Aux termes de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141 IV 336 consid. 2.4.3 et les références citées, JdT 2016 I 200 ; ATF 129 IV 238 consid. 3.1 ; TF 6B_1398/2022 du 12 mai 2023 consid. 1.1.1). La réglementation relative à l'erreur sur l'illicéité repose sur l'idée que le justiciable doit faire tout son possible pour connaître la loi et que son ignorance ne le protège que dans des cas exceptionnels (ATF 129 IV 238 précité ; TF 6B_1398/2022 précité ; TF 6B_706/2019 du 13 août 2019 consid. 2.1). Pour exclure l'erreur de droit, il suffit que l'auteur ait eu le sentiment de faire quelque chose de contraire à ce qui se doit ou qu'il eût dû avoir ce sentiment (ATF 129 IV 6 consid. 4.1 ; TF 6B_706/2019 précité ; TF 6B_77/2019 du 11 février 2019 consid. 2.1 non publié à l’ATF 145 IV 17).</w:t>
      </w:r>
    </w:p>
    <w:p>
      <w:r>
        <w:rPr>
          <w:b/>
        </w:rPr>
        <w:t>E. 4.1.3</w:t>
      </w:r>
    </w:p>
    <w:p>
      <w:r>
        <w:t>Selon l’art. 90 al. 1 LCR (loi fédérale sur la circulation routière du 19 décembre 1958; RS 741.01), celui qui viole les règles de la circulation prévues par la présente loi ou par les dispositions d’exécution émanant du Conseil fédéral est puni de l’amende. Selon l’art. 92 al. 1 LCR est puni de l’amende quiconque viole, lors d’un accident, les obligations que lui impose la présente loi. Selon l’art. 51 al. 3 LCR, si l’accident n’a causé que des dommages matériels, leur auteur en avertira tout de suite le lésé en indiquant son nom et son adresse. En cas d’impossibilité, il en informera sans délai la police. Selon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Cette disposition vise à empêcher que le conducteur qui se soumet régulièrement à une mesure tendant au constat de l'incapacité de conduire soit moins bien traité que celui qui l'entrave ou s'y soustrait (ATF 145 IV 50 consid. 3.1, et les références citées). La dérobade, liée à la violation des devoirs en cas d'accident (ATF 142 IV 324 consid. 1.1.1) est érigée en comportement punissable par l’art. 91a al. 1 LCR. En effet, ce n'est qu'en cas d'accident, où des éclaircissements sur le déroulement des événements s'avèrent nécessaires, que l'on peut dire que le conducteur devait s'attendre avec une haute vraisemblance à ce qu'une mesure visant à établir son alcoolémie soit ordonnée (ATF 142 IV 324 consid. 1.1.1). Déterminer si une mesure de constatation de l'état d'incapacité du conducteur était hautement vraisemblable est une question de droit que le juge examine librement (voir TF 6B_927/2014 du 16 janvier 2015 consid. 2.3 et l'arrêt cité).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(ATF 142 précité consid. 1.1.1). Sur le plan subjectif, l'infraction est intentionnelle, le dol éventuel étant suffisant (TF 6B_384/2015 précité consid. 5.3). Aucun dessein spécial n'est requis. Il n'est ainsi pas déterminant que l'auteur se soit senti ou non en incapacité de conduire ou qu'il soit finalement constaté qu'il se trouvait dans cet état (ATF 105 IV 64 consid. 2). La soustraction à la constatation de l'incapacité est une infraction de résultat qui suppose, pour être consommée, qu'il soit impossible d'établir de manière probante l'état de la personne au moment déterminant par le moyen de l'une des mesures spécifiques prévues ; si l'auteur n'a pas atteint ce résultat, il ne peut y avoir que tentative (ATF 115 IV 51 consid. 5).</w:t>
      </w:r>
    </w:p>
    <w:p>
      <w:r>
        <w:rPr>
          <w:b/>
        </w:rPr>
        <w:t>E. 4.2</w:t>
      </w:r>
    </w:p>
    <w:p>
      <w:r>
        <w:t>En l’espèce, pour les motifs indiqués précédemment, il y a lieu d’exclure l’existence – invraisemblable – d’une crise de panique et d’un malaise qui auraient conduit à ce que l’appelante ne se rende pas compte de l’accident qu’elle avait eu au volant de son véhicule le soir des faits. Aucun élément sérieux ne permet de fonder cette thèse, qui constitue à l’évidence un prétexte défensif dépourvu de crédibilité. Au contraire, le fait que l’appelante n’ait prévenu personne après avoir constaté les dégâts occasionnés à son véhicule – et même si ce constat est intervenu ultérieurement si l’on devait suivre sa thèse – permet de conclure qu’elle a délibérément cherché à dissimuler les faits dont elle s’était rendue responsable, et à se dérober au contrôle de son état physique qui aurait inévitablement eu lieu. Au vu des dégâts provoqués à sa voiture, l’appelante ne pouvait ignorer en avoir également occasionnés à un tiers qu’elle se devait de prévenir. Or, elle n’a absolument rien entrepris, son attitude démontrant qu’elle a voulu échapper à ses responsabilités. Il convient de préciser que selon les dires de l’appelante, celle-ci s’est arrêtée sur le parking d’un centre commercial 1,6 km après l’accident alors même qu’elle soutient en même temps avoir perçu, bien avant, qu’elle était victime d’un malaise important. Cet élément doit également amener à exclure la thèse de l’appelante sur l’existence de ce prétendu ennui de santé. En définitive, les circonstances et le comportement de J.________ conduisent à retenir que celle-ci a parfaitement eu conscience de l’accident qu’elle a provoqué, ainsi que des dommages causés, et qu’elle a délibérément cherché à éviter tout contrôle de la police sur sa capacité de conduire pour ne pas avoir à assumer les conséquences de ses actes, étant rappelé que l’accident a eu lieu vers 22h15 un samedi, et que l’intéressée a reconnu avoir bu de l’alcool, même si elle affirme avoir peu bu. Il est en outre constant que l’appelante a violé son obligation d’informer la police ensuite de l’accident en question. A cet égard, elle ne saurait se prévaloir d’une prétendue erreur sur l’illicéité. Elle ne pouvait ignorer ses devoirs de conductrice de véhicule automobile en cas d’accident, l’intéressée étant juriste de formation. Elle ne peut en outre se prévaloir comme elle le fait de l’expérience d’un accident de voiture qu’elle aurait eue avec une amie et lors duquel la police aurait indiqué qu’elle ne se déplaçait pas dans ce genre de cas, les circonstances étant fondamentalement différentes. L’art. 51 al. 3 LCR permet en effet de renoncer à faire appel à la police – respectivement à celle-ci de renoncer à se déplacer – lorsque le lésé peut être averti immédiatement (ce qui est le cas lors d’un constat à l’amiable, situation vécue par l’appelante auparavant) et que seuls des dégâts matériels ont été causés ; lorsque le lésé ne peut être averti tout de suite, il incombe en revanche au conducteur responsable d’avertir la police sans délai (art. 51 al. 3, 2 e phrase LCR in fine ). Ainsi, J.________ avait connaissance des démarches à accomplir en pareille circonstance. En dehors du fait d’avoir cherché à dissimuler son état physique au moment des faits, rien ne permet d’expliquer pourquoi elle n’a pas averti la police pour assumer ses responsabilités vis-à-vis des dégâts qu’elle avait occasionnés à un tiers, étant rappelé qu’elle n’a pas pris ultérieurement la moindre initiative pour identifier le propriétaire des biens qu’elle avait endommagés. Au vu des circonstances, l’intention de l’appelante visant à se soustraire à ses responsabilités est évidente. Compte tenu de ce qui précède, la condamnation de J.________ pour entrave aux mesures de constatation de l’incapacité de conduire et violation des obligations en cas d’accident doit donc être confirmée.</w:t>
      </w:r>
    </w:p>
    <w:p>
      <w:r>
        <w:rPr>
          <w:b/>
        </w:rPr>
        <w:t>E. 5</w:t>
      </w:r>
    </w:p>
    <w:p>
      <w:r>
        <w:t>L’appelante ne conteste la peine que dans la mesure où elle conclut à son acquittement des infractions d’entrave aux mesures de constatation de l’incapacité de conduire et de violation des obligations en cas d’accident. Elle doit tout de même être examinée d’office.</w:t>
      </w:r>
    </w:p>
    <w:p>
      <w:r>
        <w:rPr>
          <w:b/>
        </w:rPr>
        <w:t>E. 5.1.1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5.1.2</w:t>
      </w:r>
    </w:p>
    <w:p>
      <w:r>
        <w:t>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(cf. CAPE 5 avril 2023/181 consid. 8.1).</w:t>
      </w:r>
    </w:p>
    <w:p>
      <w:r>
        <w:rPr>
          <w:b/>
        </w:rPr>
        <w:t>E. 5.2</w:t>
      </w:r>
    </w:p>
    <w:p>
      <w:r>
        <w:t>En l’espèce, le premier juge a considéré que la culpabilité de J.________ ne saurait être minimisée. Elle avait été impliquée dans un accident de la circulation et elle ne s’était pas conformée aux obligations qui étaient les siennes dans le but d’échapper aux mesures d’alcoolémie et de drogue qui auraient été diligentées par la police. Ce faisant elle avait montré une absence d’égard vis-à-vis des autres usagers de la route ainsi qu’un mépris pour les dispositions de la loi fédérale sur la circulation routière. A décharge, il y avait lieu de tenir compte de la détresse émotionnelle de la prévenue suite au cambriolage de son domicile. Ces considérations peuvent globalement être suivies, étant précisé que l’appelante a délibérément cherché à se soustraire à sa responsabilité financière en n’avertissant pas le lésé et qu’il n’y a pas lieu de retenir à décharge l’existence d’une détresse émotionnelle au moment des faits, laquelle n’est pas établie, ce d’autant qu’elle avait mangé avec une amie qui a déclaré qu’elle allait bien et qu’elle se rendait auprès de son ami pour dormir au domicile de celui-ci. La peine pécuniaire de 60 jours-amende sanctionne adéquatement l’infraction prévue à l’art. 91a al. 1 LCR, pour cette appelante condamnée pour des infractions à la LCR pour la seconde fois. Le montant du jour-amende de 80 fr. correspond à la situation financière de l’intéressée et sera confirmé, tout comme l’amende de 960 fr. infligée à titre de sanction immédiate, ainsi que l’amende de 240 fr. sanctionnant les contraventions, qui ne sont pas contestées. La peine pécuniaire sera assortie du sursis, avec délai d’épreuve de deux ans, le pronostic n’étant pas entièrement défavorable, malgré l’absence de toute remise en question.</w:t>
      </w:r>
    </w:p>
    <w:p>
      <w:r>
        <w:rPr>
          <w:b/>
        </w:rPr>
        <w:t>E. 6</w:t>
      </w:r>
    </w:p>
    <w:p>
      <w:r>
        <w:t>Au vu de ce qui précède, l’appel de J.________ doit être rejeté et le jugement entrepris confirmé. Vu l’issue de la cause, les frais de la procédure d’appel, constitués des émoluments de jugement et d’audience, par 1’830 fr. (art. 21 al. 1 et 2 TFIP [tarif des frais de procédure et indemnités en matière pénale du 28 septembre 2010 ; BLV 312.03.1]), sont mis à la charge de J.________,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