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486 vom 29. April 2024</w:t>
      </w:r>
    </w:p>
    <w:p>
      <w:r>
        <w:t>VD Tribunal cantonal, 2024-04-29, FR</w:t>
      </w:r>
    </w:p>
    <w:p>
      <w:r>
        <w:rPr>
          <w:b/>
        </w:rPr>
        <w:t xml:space="preserve">Quelle: </w:t>
      </w:r>
      <w:r>
        <w:t>https://mcp.opencaselaw.ch/entscheid/vd_findinfo_Jug___2024___486</w:t>
      </w:r>
    </w:p>
    <w:p>
      <w:r>
        <w:t>FR: VD_FINDINFO Jug / 2024 / 486 du 29 avril 2024</w:t>
      </w:r>
    </w:p>
    <w:p>
      <w:r>
        <w:t>IT: VD_FINDINFO Jug / 2024 / 486 del 29 aprile 2024</w:t>
      </w:r>
    </w:p>
    <w:p>
      <w:pPr>
        <w:pStyle w:val="Heading2"/>
      </w:pPr>
      <w:r>
        <w:t>Regeste</w:t>
      </w:r>
    </w:p>
    <w:p>
      <w:r>
        <w:t>REJET DE LA DEMANDE, HOMICIDE PAR NÉGLIGENCE, MARCHE ARRIÈRE, POIDS LOURD, TORT MORAL | 44 al. 1 CO, 47 CO, 117 CP, 1 al. 1 LCR, 26 LCR, 31 al. 1 LCR, 36 al. 4 LCR, 1 al. 2 OCR, 17 al. 1 OCR</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w:t>
      </w:r>
    </w:p>
    <w:p>
      <w:r>
        <w:rPr>
          <w:b/>
        </w:rPr>
        <w:t>E. 3.1</w:t>
      </w:r>
    </w:p>
    <w:p>
      <w:r>
        <w:t>L’appelant ne remet pas en question le déroulement – objectif – de l’accident tel qu’il figure dans l’acte d’accusation et retenu au chiffre C. 2 supra . En revanche, il conteste dans un premier grief que la loi fédérale sur la circulation routière (LCR ; RS 741.01) et ses dispositions d’exécution (OCR ; RS 714.11) puissent trouver application dans la mesure où l’accident n’aurait pas eu lieu sur le domaine public.</w:t>
      </w:r>
    </w:p>
    <w:p>
      <w:r>
        <w:rPr>
          <w:b/>
        </w:rPr>
        <w:t>E. 3.2</w:t>
      </w:r>
    </w:p>
    <w:p>
      <w:r>
        <w:t>Les routes qui ne servent pas exclusivement à l’usage privé sont publiques (art. 1 al. 2 OCR) et la LCR régit la circulation sur la voie publique (art. 1 al. 1 LCR). La jurisprudence retient une conception large de la notion de route publique.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104 IV 105 consid. 3 ; TF 6B_308/2022 du 2 avril 2024 consid. 3.1 ; TF 6B_335/2021 du 29 novembre 2021 consid. 3.1). Ainsi, le caractère public ne dépend pas de la volonté du propriétaire, mais de l’usage qui en est fait ; peu importe que la route ait un but particulier ou soit réservée à une certaine catégorie d’usagers (TF 6B_384/2020 du 23 août 2021 consid. 1.4). Le Tribunal fédéral a déjà eu l’occasion de juger que le parking d’un immeuble comprenant des places pour visiteurs était une voie publique dès lors que celui-ci était accessible à un nombre indéterminé de personnes (TF 6S.286/2003 du 26 septembre 2003 consid. 1.2 et 3.2 ; TF 6B_335/2021 précité ; TF 6B_422/2018 du 22 février 2019 consid. 2.1.2). En effet, l’aire de circulation en question était également accessible aux « visiteurs » (par 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(TF 6S.286/2003 précité consid. 3.2). De même, le Tribunal fédéral a jugé que si une entreprise souhaitait limiter à un usage exclusivement privé, la nuit ou les jours fériés, une zone ouverte à la circulation publique pendant les heures de travail, cette intention devait être rendue visible aux tiers par des signaux ou une barrière. En l'absence de telles précautions claires, le caractère public restait intact (TF 6B_384/2020 précité consid. 1.4 in fine ).</w:t>
      </w:r>
    </w:p>
    <w:p>
      <w:r>
        <w:rPr>
          <w:b/>
        </w:rPr>
        <w:t>E. 3.3</w:t>
      </w:r>
    </w:p>
    <w:p>
      <w:r>
        <w:t>En l’espèce, et compte tenu de la description des lieux de l’accident faite par la police (cf. P. 17 et 18), la place de chargement en question était facilement accessible à d’autres personnes. Le parking, bien que situé sur une parcelle privée, était ouvert à la circulation et, même si le cercle de personnes autorisées ou sensées y travailler était limité, selon la nature ou le but de l’utilisation de l’endroit, il demeurait accessible à des tiers. Quant à la présence d’un portail muni d’une barrière, celle-ci était ouverte en permanence durant la journée. Du reste, l’appelant l’a confirmé aux débats de première instance (cf. jgmt, p. 8). Partant, c’est à bon droit que le premier juge a considéré que la LCR s’appliquait. On relèvera que, même si par impossible la LCR ne devait pas trouver application directement au cas d’espèce, il n’en demeure pas moins que ses dispositions générales s’appliqueraient par analogie dans la mesure où elles sont inspirées des principes généraux de la prudence. Ainsi, il est attendu d’un conducteur d’un camion sur un lieu privé qu’il respecte les mêmes précautions que celles qui s’imposent dans la circulation routière sur le domaine public lorsqu’il effectue une marche arrière dans un endroit où sont susceptibles de se trouver d’autres personnes se déplaçant à pied (ATF 115 IV 45 consid. 2a et 2c, JdT 1990 IV 112 ; TF 6B_308/2022 précité).</w:t>
      </w:r>
    </w:p>
    <w:p>
      <w:r>
        <w:rPr>
          <w:b/>
        </w:rPr>
        <w:t>E. 4.1</w:t>
      </w:r>
    </w:p>
    <w:p>
      <w:r>
        <w:t>L’appelant soutient dans un second grief qu’aucune faute ne peut lui être imputée dans la mesure où il n’avait aucune obligation de se faire aider d’un tiers dans sa manœuvre de reculement. De plus, l’accident ne se serait, selon lui, pas produit si son collègue était resté derrière son camion, comme le prescrivent les directives du guide de la société [...], lors des manœuvres de chargement et déchargement (P. 17/2). Par ailleurs, l’appelant estime que si une négligence devait être retenue – ce qu’il conteste – le comportement de la victime, qui se serait déportée latéralement de manière imprévisible et inattendue, aurait été propre à rompre le lien de causalité.</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6B_848/2022 du 21 juin 2023 consid. 2.1.1).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 TF 6B_47/2018 du 20 septembre 2018 consid. 1.1).</w:t>
      </w:r>
    </w:p>
    <w:p>
      <w:r>
        <w:rPr>
          <w:b/>
        </w:rPr>
        <w:t>E. 4.2.2</w:t>
      </w:r>
    </w:p>
    <w:p>
      <w:r>
        <w:t>L’art. 117 aCP (Code pénal suisse du 21 décembre 1937 ; RS 311.0), dans la teneur en vigueur au moment des faits n’est ni plus ni moins favorable à sa teneur au 1 er juillet 2023, réprime le comportement de celui qui, par négligence, cause la mort d’une personne. La réalisation de cette infraction suppose la réunion de trois conditions : le décès d’une personne, une négligence et un lien de causalité entre la négligence et la mort de la victime (ATF 122 IV 145 consid. 3 ; TF 7B_76/2022 du 19 juillet 2024 consid. 3.3.1). Un acte se trouve en relation de causalité adéquate avec un résultat donné lorsque l'acte considéré est propre, d'après le cours ordinaire des choses et l'expérience générale de la vie, à engendrer un résultat du genre de celui qui s'est produit (ATF 133 IV 158 consid. 6.1 ; ATF 131 IV 145 consid. 5.1). Il n'est pas nécessaire que l’acte incriminé apparaisse comme la cause unique ou immédiate du résultat. Seul compte le fait que l'acte considéré représente l'une des conditions sans laquelle le résultat ne serait pas survenu (Corboz, Les infractions en droit suisse, vol. I, 3 e éd., Berne 2010, n. 36 ad art. 117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135 IV 56 consid. 2.1 ; 134 IV 255 consid. 4.2.3). En second lieu, la violation du devoir de prudence doit être fautive, c'est-à-dire qu'il faut pouvoir reprocher à l'auteur une inattention ou un manque d'effort blâmable (ATF 135 IV 56 consid. 2.1 ; ATF 134 IV 255 consid. 4.2.3 et les références citées). Il faut en outre qu'il existe un rapport de causalité entre la violation fautive du devoir de prudence et les lésions de la victime. Un fait est la cause naturelle d'un résultat dommageable s'il en constitue une des conditions sine qua non ; il n'est pas nécessaire que l'événement considéré soit la cause unique ou immédiate du résultat. Le constat d'un lien de causalité naturelle relève du fait (ATF 143 III 242 consid. 3.7). Il y a causalité adéquate lorsque le comportement incriminé est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–force naturelle, fait du lésé ou d'un tiers –, et qui revêt une importance telle qu'il s'impose comme la cause la plus immédiate du dommage et relègue à l'arrière-plan les autres facteurs ayant contribué à le provoquer - y compris le fait imputable à la partie recherchée. La causalité adéquate est une question de droit (ATF 143 III 242 ibidem ).</w:t>
      </w:r>
    </w:p>
    <w:p>
      <w:r>
        <w:rPr>
          <w:b/>
        </w:rPr>
        <w:t>E. 4.2.3</w:t>
      </w:r>
    </w:p>
    <w:p>
      <w:r>
        <w:t>L’art. 26 LCR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Selon la jurisprudence,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L’art. 36 al. 4 LCR précise que le conducteur qui veut engager son véhicule dans la circulation, faire demi-tour ou marche arrière ne doit pas entraver les autres usages de la route, ces derniers bénéficiant alors de la priorité. L’art. 17 al. 1 OCR précise en outre qu’avant de démarrer, le conducteur s’assurera qu’il ne met en danger aucun enfant ou autre usage de la route. Lorsque le véhicule masque la vue vers l’arrière, le conducteur ne reculera pas sans l’aide d’une tierce personne, à moins que tout danger ne soit exclu.</w:t>
      </w:r>
    </w:p>
    <w:p>
      <w:r>
        <w:rPr>
          <w:b/>
        </w:rPr>
        <w:t>E. 4.3.1</w:t>
      </w:r>
    </w:p>
    <w:p>
      <w:r>
        <w:t>En l’espèce, conformément au rapport d’autopsie du 21 février 2023 (P. 19), A.A.________ est décédé des suites de l’accident survenu le 7 juin 2022. La première condition d’application de l’art. 117 aCP est donc réalisée.</w:t>
      </w:r>
    </w:p>
    <w:p>
      <w:r>
        <w:rPr>
          <w:b/>
        </w:rPr>
        <w:t>E. 4.3.2.1</w:t>
      </w:r>
    </w:p>
    <w:p>
      <w:r>
        <w:t>Quant à l’existence d’une négligence, il y a lieu de se référer aux articles 26 al. 1, 31 al. 1, 36 al 4 LCR et 17 al. 1 OCR pour déterminer le comportement attendu d’un conducteur de poids-lourd lorsqu’il effectue une marche arrière dans un environnement où travaillent d’autres personnes. En l’occurrence, la négligence repose sur le fait que l’appelant a procédé à une marche arrière sans l’aide d’un tiers, contrairement à ce que prescrit l’art. 17 al. 1 OCR. Cette intervention accessoire s’imposait d’autant plus qu’il s’agissait là d’une manœuvre peu courante à cet endroit, selon les dires de l’appelant (PV aud. 6, l. 34ss ; jgmt, p. 7 et supra p. 3) et le témoignage de [...] (PV aud. 5, R. 9, p. 3). Ainsi, l’appelant ne pouvait qu’être conscient du danger que représentait le camion qu’il conduisait. Il savait qu’il n’avait pas une visibilité à 100% derrière lui lorsqu’il effectuait une marche arrière en regardant uniquement dans les rétroviseurs et sans disposer d’une caméra de recul. Il admet lui-même les limites conséquentes du champ de vision d’un conducteur qui n’aurait recours qu’à ce moyen auxiliaire pour déplacer le véhicule en question ( « je dois bien admettre que cela ne permet pas de voir grand-chose » ; PV aud. 6, l. 100s.) et que « la manœuvre de reculement était très longue et (…) la configuration des lieux et la présence de l’autre camion ne [le] permettaient à aucun moment de voir l’arrière du camion » (cf. jgmt, p. 8). En réalisant sa manœuvre, sans l’aide d’un tiers et en se contentant des rétroviseurs, l’appelant a pris un risque et a manqué à son devoir de prudence le plus élémentaire. Son expérience professionnelle et ses habitudes de travail ne sauraient justifier un tel comportement ni même réduire le devoir de diligence qui était le sien vis-à-vis du danger que représentait sa manœuvre.</w:t>
      </w:r>
    </w:p>
    <w:p>
      <w:r>
        <w:rPr>
          <w:b/>
        </w:rPr>
        <w:t>E. 4.3.2.2</w:t>
      </w:r>
    </w:p>
    <w:p>
      <w:r>
        <w:t>L’appelant savait que la victime se trouvait à proximité de son camion dans la mesure où il avait déjà interrompu sa manœuvre une première fois lorsqu’il l’a vue sortir de son véhicule, lequel était stationné en parallèle au tronçon qu’il devait emprunter (PV aud. 5, R. 8, p. 3). Devant la police et aux débats de première instance, il a même indiqué ne pas avoir vérifié où A.A.________ se trouvait mais avoir « pensé » qu’il était à l’arrière de son camion, où il était censé se tenir (PV aud. 2, R. 5, p. 3 et jgmt, p. 6 et 8). Aux débats d’appel, il a admis être « parti du principe » qu’il se trouvait derrière le camion (cf. supra p. 3). Par conséquent, X.________ ne pouvait en déduire que la voie était libre au moment d’effectuer sa marche arrière, ce d’autant plus que A.A.________ aurait pu à tout moment rejoindre la cabine de son camion. Quoi qu’il en soit, le conducteur qui effectue une marche arrière doit être en mesure de s’arrêter immédiatement en présence d’un danger dès lors que sa manœuvre est à l’origine du risque créé. L’appelant s’est facilité la tâche, probablement entrainé par la routine d’une activité qu’il accomplissait quotidiennement. Ce comportement doit lui être imputé à faute dès lors qu’il est la conséquence d’un manque d’effort blâmable. De plus, il n’a pas laissé assez de distance entre son camion et celui de A.A.________ comme en témoignent les photographies du cahier technique (cf. P. 18).</w:t>
      </w:r>
    </w:p>
    <w:p>
      <w:r>
        <w:rPr>
          <w:b/>
        </w:rPr>
        <w:t>E. 4.3.3</w:t>
      </w:r>
    </w:p>
    <w:p>
      <w:r>
        <w:t>L’examen du rapport de causalité ne permet pas d’exonérer l’appelant de sa responsabilité. La causalité naturelle résulte de la manœuvre de recul effectuée par l’appelant, manœuvre qui a provoqué le décès de la victime. Quant à la causalité adéquate, celle-ci est donnée dès lors que le comportement consistant à reculer avec un véhicule dangereux – ce que l’appelant concède (PV aud. 2 R. 19, p. 6) – dans un tel environnement de travail et sans bénéficier d’un champ de vision complet est propre, selon le cours ordinaire des choses et l’expérience générale de la vie, à conduire à un drame du genre de celui qui s’est produit. La présence d’autres personnes et véhicules n’était de loin pas exclue. La présence de la victime n’était donc pas inattendue. Il n’est en outre pas établi que A.A.________ se serait brusquement élancé latéralement sur la chaussée, serait tombé ou se serait couché sur la route avant qu’il soit percuté par le véhicule. Son comportement ne saurait donc être qualifié d’imprévisible au sens de la jurisprudence. Il n’est pas exclu que la victime ait fait preuve d’inattention ou d’un manque de précaution en ne gardant pas une distance de sécurité suffisante à l’égard du véhicule qui reculait. Cependant, l’attitude d’une personne à pied qui ne prend pas ses distances avec un véhicule effectuant une marche arrière n’a rien d’extraordinaire et ne saurait en aucun cas constituer un événement imprévisible, même s’agissant d’un collègue également chauffeur poids-lourd. L’inattention d’un piéton est une circonstance que tout automobiliste doit être en mesure d’envisager lorsqu’il réalise une telle manœuvre. En particulier, le fait que le camion fasse beaucoup de bruit ou qu’il dispose d’un dispositif sonore puissant lorsqu’il recule ne suffit évidemment pas pour considérer que toute mesure utile a été prise par son conducteur au point qu’il puisse se croire autorisé à reculer partiellement à l’aveugle en toute sécurité. Il en va de même du fait qu’il avait convenu avec la victime et son autre collègue de procéder en l’absence d’un tiers (cf. jgmt p. 6 et 7 et supra p. 4). Pour le surplus, le fait que la victime était porteuse d’écouteurs à ce moment-là, et en pleine conversation téléphonique professionnelle, ne saurait constituer un motif exculpatoire. Il n’a en effet pas été établi que le port d’Airpods était proscrit au travail. Au contraire, il a été exposé en cours d’instruction qu’il arrivait fréquemment que l’employeur contacte les chauffeurs alors qu’ils se trouvaient à l’extérieur en mission. De plus, il est constant que le moteur du camion de la victime était allumé de sorte que les autres bruits s’en trouvaient à l’évidence atténués, voire masqués. De toute manière, il n’y a pas de compensation des fautes en droit pénal (ATF 122 IV 17). En conséquence, l’inattention de la victime n’a pas constitué la cause prépondérante de l’accident, au contraire du comportement de l’appelant qui reculait en utilisant uniquement la vision limitée offerte par ses rétroviseurs, un tel comportement reléguant à l’arrière-plan l’éventuelle inattention ou imprudence de la victime. Le rapport de causalité entre la négligence fautive et le décès de la victime est naturel et adéquat.</w:t>
      </w:r>
    </w:p>
    <w:p>
      <w:r>
        <w:rPr>
          <w:b/>
        </w:rPr>
        <w:t>E. 4.4</w:t>
      </w:r>
    </w:p>
    <w:p>
      <w:r>
        <w:t>En définitive, toutes les conditions objectives et subjectives de l’homicide par négligence sont réalisées, de sorte que la condamnation de l’appelant pour cette infraction doit être confirmée.</w:t>
      </w:r>
    </w:p>
    <w:p>
      <w:r>
        <w:rPr>
          <w:b/>
        </w:rPr>
        <w:t>E. 5.1</w:t>
      </w:r>
    </w:p>
    <w:p>
      <w:r>
        <w:t>L’appelant, qui conclut à son acquittement, ne conteste pas la quotité de la peine. Elle doit toutefois être examinée d’office.</w:t>
      </w:r>
    </w:p>
    <w:p>
      <w:r>
        <w:rPr>
          <w:b/>
        </w:rPr>
        <w:t>E. 5.2</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 TF 6B_612/2024 du 18 septembre 2024 consid. 1.1).</w:t>
      </w:r>
    </w:p>
    <w:p>
      <w:r>
        <w:rPr>
          <w:b/>
        </w:rPr>
        <w:t>E. 5.3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6B_1049/2023 du 19 juillet 2024 consid. 5.1 et les arrêts cités).</w:t>
      </w:r>
    </w:p>
    <w:p>
      <w:r>
        <w:rPr>
          <w:b/>
        </w:rPr>
        <w:t>E. 5.4</w:t>
      </w:r>
    </w:p>
    <w:p>
      <w:r>
        <w:t>Le premier juge a considéré que la faute de X.________ n’était certes pas importante mais qu’elle avait eu des conséquences dramatiques. Le prénommé a omis de demander l’aide d’une tierce personne lors de sa manœuvre de reculement et cette absence a eu des suites tragiques. Il n’était ni sous l’influence de l’alcool, ni sous l’influence de stupéfiants et ne roulait pas à une vitesse excessive. Le prévenu avait expliqué être en arrêt maladie depuis les faits. Cet accident avait sans aucun doute été marquant pour X.________. Toutefois, aux débats de première instance, il n’avait pas fait preuve de beaucoup d’empathie à l’égard de la famille de la victime, l’épouse et la mère de A.A.________ qui étaient pourtant présentes. A décharge, le tribunal a tenu compte du fait que le prévenu était inséré socialement. Son casier judiciaire vierge était un facteur neutre et son absence d’inscription SIAC avait largement été pris en compte dans la peine proposée par le parquet. Ces considérations peuvent être suivies et la peine pécuniaire de 90 jours-amende, prononcée par le premier juge, doit être confirmée. Le montant du jour-amende sera fixé en fonction de la situation financière de l’appelant et arrêté à 50 fr., comme en première instance. Le prévenu, qui n’a pas d’antécédents judiciaires, remplit les conditions du sursis. Le délai d’épreuve sera fixé à deux ans. La Cour de céans renoncera en outre à prononcer une amende à titre de sanction immédiate, X.________ devant déjà s’acquitter des frais de justice et des conclusions civiles (cf. consid.</w:t>
      </w:r>
    </w:p>
    <w:p>
      <w:r>
        <w:rPr>
          <w:b/>
        </w:rPr>
        <w:t>E. 6</w:t>
      </w:r>
    </w:p>
    <w:p>
      <w:r>
        <w:t>et 7 infra ).</w:t>
      </w:r>
    </w:p>
    <w:p>
      <w:r>
        <w:rPr>
          <w:b/>
        </w:rPr>
        <w:t>E. 6.1</w:t>
      </w:r>
    </w:p>
    <w:p>
      <w:r>
        <w:t>L’appelant plaide ensuite une faute concomitante de A.A.________ qui aurait dû être retenue selon lui au moment de fixer des montants d’indemnisation à C.________ et B.A.________.</w:t>
      </w:r>
    </w:p>
    <w:p>
      <w:r>
        <w:rPr>
          <w:b/>
        </w:rPr>
        <w:t>E. 6.2.1</w:t>
      </w:r>
    </w:p>
    <w:p>
      <w:r>
        <w:t>En vertu de l'art. 47 CO (Code des obligations du 30 mars 1911 ; RS 220),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Selon la pratique judiciaire répertoriée, pour la période courant de 1998 à 2000, on peut se fonder sur un montant ordinaire de 30'000 fr. à 50'000 fr. pour le conjoint et de 15'000 fr. à 30'000 fr. pour les enfants (Hütte/Ducksch/Gross, Le tort moral, 3 e éd., avril 1996, p. I/62a, n. 7.4). Ces montants ont été portés plus récemment de 40'000 fr. à 50'000 fr. pour la perte d'un conjoint et de 20'000 fr. à 40'000 fr. pour la perte d'un parent (Guyaz, Le tort moral en cas d'accident : une mise à jour, in SJ 2013 II 215, p. 250 et les références citées).</w:t>
      </w:r>
    </w:p>
    <w:p>
      <w:r>
        <w:rPr>
          <w:b/>
        </w:rPr>
        <w:t>E. 6.2.2</w:t>
      </w:r>
    </w:p>
    <w:p>
      <w:r>
        <w:t>La possibilité de réduire une indemnité pour tenir compte d'une faute concomitante, résultant de l'art. 44 al. 1 CO, existe dans le cas d'une indemnité pour tort moral (cf. ATF 131 III 12 consid. 8 ; ATF 128 I l 49 consid. 4.2 ; TF 6B_780/2022 du 1 er mai 2023 consid. 4.2.1).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6B_780/2022 précité ; TF 6B_54/2021 du 26 septembre 2022 consid. 3.1).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6B_780/2022 précité).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 ; TF 6B_54/2021 du 26 septembre 2022 consid. 3.1).</w:t>
      </w:r>
    </w:p>
    <w:p>
      <w:r>
        <w:rPr>
          <w:b/>
        </w:rPr>
        <w:t>E. 6.3</w:t>
      </w:r>
    </w:p>
    <w:p>
      <w:r>
        <w:t>En l’occurrence, il n’y a pas lieu de retenir une faute concomitante de la victime. En effet, il n’est pas établi que A.A.________ se serait élancé brusquement latéralement sur la chaussée, serait tombé fautivement ou se serait couché sur la route avant qu’il ne soit percuté par le véhicule de X.________. Le fait que la victime était porteuse d’écouteurs Airpods à ce moment-là, en pleine conversation téléphonique avec son supérieur, ne saurait constituer un motif suffisant pour retenir une faute concomitante ; il n’a en effet pas été établi que le port de tels écouteurs était proscrit et il arrivait manifestement fréquemment que l’employeur contacte les chauffeurs alors qu’ils se trouvaient à l’extérieur en mission. Enfin, le moteur du camion de la victime était allumé de sorte que les autres bruits s’en trouvaient à l’évidence atténués voire masqués. Une inattention est concevable mais elle serait demeurée, dans tous les cas, insignifiante face à un chauffeur poids-lourd qui recule partiellement à l’aveugle. Les montants alloués de 50'000 fr. pour B.A.________ et 40'000 fr. pour C.A.________ ayant perdu son époux, respectivement son père, âgé de 42 ans, sont adéquats et il peut être renvoyé, par adoption de motifs, à la motivation du jugement attaqué (cf. jgmt, p. 23 à 27 ; art. 82 al. 4 CPP), qui est claire et convaincante à cet égard.</w:t>
      </w:r>
    </w:p>
    <w:p>
      <w:r>
        <w:rPr>
          <w:b/>
        </w:rPr>
        <w:t>E. 7</w:t>
      </w:r>
    </w:p>
    <w:p>
      <w:r>
        <w:t>En conclusion, l’appel de X.________ doit être rejeté et le jugement du 29 avril 2024 confirmé. Il n’y a pas lieu de s’écarter de la liste des opérations produite par Me Alexis Overney, conseil de choix de C.________ et de B.A.________, et qui fait état de 8 heures et 30 minutes d’activité au tarif horaire de 250 francs. L’indemnité versée à C.________ et B.A.________, pour la procédure d’appel, sera donc fixée à 2'125 fr. (8h30 x 250 fr.), à laquelle viennent s’ajouter des débours à concurrence de 2 % des honoraires admis – et non 5 % tel que demandé – conformément à l’art. 3bis al. 1 RAJ (règlement sur l’assistance judiciaire en matière civile du 7 décembre 2010 ; BLV 211.02.3) applicable par renvoi de l’art. 26b TFIP (tarif des frais de procédure et indemnités en matière pénale du 28 septembre 2010 ; BLV 312.03.1), soit 42 fr. 50, une vacation hors canton à hauteur de 375 fr. et la TVA à 8,1 % sur le tout, par 205 fr. 94, soit au total 2'748 fr. 44. Cette indemnité sera mise à la charge de X.________. Vu l’issue de la cause, les frais d’appel, constitués des émoluments de jugement et d’audience, par 2’790 fr. (art. 21 al. 1 et 2 TFIP),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