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477 vom 12. März 2024</w:t>
      </w:r>
    </w:p>
    <w:p>
      <w:r>
        <w:t>VD Tribunal cantonal, 2024-03-12, FR</w:t>
      </w:r>
    </w:p>
    <w:p>
      <w:r>
        <w:rPr>
          <w:b/>
        </w:rPr>
        <w:t xml:space="preserve">Quelle: </w:t>
      </w:r>
      <w:r>
        <w:t>https://mcp.opencaselaw.ch/entscheid/vd_findinfo_Jug___2024___477</w:t>
      </w:r>
    </w:p>
    <w:p>
      <w:r>
        <w:t>FR: VD_FINDINFO Jug / 2024 / 477 du 12 mars 2024</w:t>
      </w:r>
    </w:p>
    <w:p>
      <w:r>
        <w:t>IT: VD_FINDINFO Jug / 2024 / 477 del 12 marzo 2024</w:t>
      </w:r>
    </w:p>
    <w:p>
      <w:pPr>
        <w:pStyle w:val="Heading2"/>
      </w:pPr>
      <w:r>
        <w:t>Regeste</w:t>
      </w:r>
    </w:p>
    <w:p>
      <w:r>
        <w:t>GESTION DÉLOYALE, BLANCHIMENT D'ARGENT, COAUTEUR{DROIT PÉNAL}, ERREUR SUR LES FAITS{DROIT PÉNAL}, ERREUR DE DROIT{DROIT PÉNAL} | 158 CP, 305bis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V.________ et F.________ sont recevables.</w:t>
      </w:r>
    </w:p>
    <w:p>
      <w:r>
        <w:rPr>
          <w:b/>
        </w:rPr>
        <w:t>E. 1.1</w:t>
      </w:r>
    </w:p>
    <w:p>
      <w:r>
        <w:t>; TF 6B_215/2021 du 17 janvier 2022 consid. 1.2).</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w:t>
      </w:r>
    </w:p>
    <w:p>
      <w:r>
        <w:rPr>
          <w:b/>
        </w:rPr>
        <w:t>E. 4</w:t>
      </w:r>
    </w:p>
    <w:p>
      <w:r>
        <w:t>A titre de mesures d’instruction, V.________ requiert tout d’abord l’audition de E.________, lequel pourrait témoigner sur le train de vie qu’avait F.________ au moment où les prélèvements litigieux ont été effectués. Il sollicite ensuite l’audition du notaire K.________, ainsi que la production par celui-ci de l’entier des éléments relatifs à la cession des parts sociales de la société Q.________ Sàrl. Il fait valoir que cette audition permettra de clarifier le contexte dans lequel est intervenu cet accord. Enfin, il requiert l’audition d’I.________, gérant des sociétés [...] SA et [...] Sàrl, afin d’établir que F.________ était en possession des documents comptables de la société, dès le moment où il a racheté les parts sociales en avril 2017.</w:t>
      </w:r>
    </w:p>
    <w:p>
      <w:r>
        <w:rPr>
          <w:b/>
        </w:rPr>
        <w:t>E. 4.1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références citées, JdT 2015 I 115 ; TF 6B_1355/2022 précité consid. 3.2 ; TF 6B_619/2022 précité consid. 4.1).</w:t>
      </w:r>
    </w:p>
    <w:p>
      <w:r>
        <w:rPr>
          <w:b/>
        </w:rPr>
        <w:t>E. 4.2</w:t>
      </w:r>
    </w:p>
    <w:p>
      <w:r>
        <w:t>Les mesures d’instruction requises doivent être rejetées. S’agissant de l’audition de E.________, il n’est pas indispensable de connaître le train de vie de F.________, ce dernier ayant admis qu’une part de l’argent détourné au préjudice de Q.________ Sàrl, soit 77'500 fr., lui avait profité. Pour le reste, cela ne saurait exculper l’appelant de ses propres agissements. On ne voit pas non plus ce que l’audition du notaire K.________ pourrait amener, étant rappelé que chacun s’accorde à dire que F.________ ne s’est pas acquitté du prix de vente des parts sociales de Q.________ Sàrl et que le notaire en question ne détient pas la « convention interne » mentionnée dans le procès-verbal de l’assemblée générale extraordinaire du 7 avril 2017 (cf. P. 7/4). Pour ce même motif, la réquisition tendant à la production par ce notaire de l’entier des éléments relatifs à la cession des parts sociales de Q.________ Sàrl doit également être rejetée. Enfin, l’audition d’I.________ est inutile, dans la mesure où, même à supposer que F.________ ait bien récupéré les documents comptables de la société, on ignore toujours où ceux-ci se trouvent et ce qu’ils pourraient révéler, les appelants ayant eux-mêmes admis n’avoir tenu aucune comptabilité.</w:t>
      </w:r>
    </w:p>
    <w:p>
      <w:r>
        <w:rPr>
          <w:b/>
        </w:rPr>
        <w:t>E. 5</w:t>
      </w:r>
    </w:p>
    <w:p>
      <w:r>
        <w:t>Invoquant une constatation erronée des faits, l’appelant V.________ conteste avoir bénéficié des sommes d’argent retirées avec F.________. Il soutient qu’il n’aurait fait que l’accompagner lors des retraits bancaires. Il conteste également qu’il puisse avoir été organe de fait de Q.________ Sàrl, dès lors qu’il n’avait plus de fonction décisionnelle après la cession des parts sociales de l’entreprise. Il considère ensuite que l’enquête n’a pas établi l’affectation des liquidités retirées, relevant, statistiques à l’appui, que, compte tenu de son chiffre d’affaires non négligeable, la société avait forcément des charges et des dépenses bien plus importantes que les estimations effectuées par les premiers juges. L’argent retiré aurait ainsi pu avoir été affecté à l’achat de matériel et au paiement des employés et des sous-traitants. Enfin, l’appelant soutient que la faillite de Q.________ Sàrl s’expliquerait uniquement par le retraits, par F.________, des sommes de 71'500 fr. et 6'000 fr. les 6 et 8 septembre 2017.</w:t>
      </w:r>
    </w:p>
    <w:p>
      <w:r>
        <w:rPr>
          <w:b/>
        </w:rPr>
        <w:t>E. 5.1.1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w:t>
      </w:r>
    </w:p>
    <w:p>
      <w:r>
        <w:rPr>
          <w:b/>
        </w:rPr>
        <w:t>E. 5.1.2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146 IV 88 consid. 1.3.1 ; ATF 145 IV 154 consid.</w:t>
      </w:r>
    </w:p>
    <w:p>
      <w:r>
        <w:rPr>
          <w:b/>
        </w:rPr>
        <w:t>E. 5.2.1</w:t>
      </w:r>
    </w:p>
    <w:p>
      <w:r>
        <w:t>S’agissant des retraits d’argent sur le compte BCV de Q.________ Sàrl, à hauteur de 571'000 fr., entre le 19 avril et le 4 septembre 2017, V.________ ne conteste pas les avoir lui-même effectués. C’est du reste sa signature qui figure sur chaque prélèvement opéré durant cette période (P. 5/2 et 7/6). Par ailleurs, l’appelant n’explique pas quelle aurait été l’affectation de cet argent, si ce n’est en évoquant l’hypothèse qu’il aurait pu être utilisé pour payer des employés ou des fournisseurs, sans toutefois fournir le moindre document comptable qui permettrait d’étayer ses allégations. Sur ce point, les premiers juges ont clairement démontré que les salaires virés aux employés de Q.________ Sàrl ne permettaient pas d’expliquer l’importance des montants prélevés par l’appelant. En effet, même en se basant sur une moyenne hypothétique de dix ouvriers – chiffre avancé par l’appelant (cf. PV d’audition n° 2, ll. 144 et 145) – pour un salaire mensuel de l’ordre de 5'000 fr., la masse salariale pour la période en cause n’aurait pu excéder 250'000 fr. (jgt, p. 31). De même, comme l’a relevé le Ministère public dans ses déterminations du 10 juillet 2024 (P. 152, ch. 2, p. 2), il faut constater qu’entre avril et septembre 2017, c’est une somme de 929'247 fr. qui a été créditée sur le compte bancaire BCV de Q.________ Sàrl (cf. P. 48/D), tandis que les flux d’appauvrissement en lien avec les activités de l’entreprise ont avoisiné les 300'000 fr., ce montant comprenant les salaires versés en espèces ou par virements bancaires, soit environ 220'000 francs. On voit donc que ce n’est pas la totalité des retraits d’argent qui a été détournée, puisqu’il a été tenu compte de la masse salariale, dont le paiement n’a pas été imputé à faute aux appelants. L’incrimination ne porte ainsi que sur 648'700 fr., soit 571'200 fr. pour V.________ et 77'500 fr. pour F.________, qu’aucun d’entre eux n’est en mesure de justifier, ne serait-ce qu’au stade de la vraisemblance. L’argument d’une affectation des fonds conforme au but social doit dès lors être écarté.</w:t>
      </w:r>
    </w:p>
    <w:p>
      <w:r>
        <w:rPr>
          <w:b/>
        </w:rPr>
        <w:t>E. 5.2.2</w:t>
      </w:r>
    </w:p>
    <w:p>
      <w:r>
        <w:t>L’appelant V.________ conteste avoir conservé, après la cession, en mai 2017, des parts sociales à F.________, une fonction décisionnelle au sein de Q.________ Sàrl. Il fait toutefois totalement abstraction du témoignage d’H.________, sur lequel les premiers juges se sont fondés à juste titre (cf. jgt, pp. 30 et 31). Or, cet ouvrier a indiqué avoir œuvré pour la société entre mai et août 2017, son dernier salaire lui ayant d’ailleurs été versé cash par son « patron », dont il a précisé qu’il se nommait V.________. Il a ajouté qu’il n’avait pas eu d’autres « patrons » pendant toute la durée durant laquelle il a travaillé pour Q.________ Sàrl. C’était V.________ qui l’envoyait sur des chantiers. De plus, interrogé sur la personne de F.________, H.________ a confirmé que ce nom ne lui disait rien, que son visage lui était inconnu et qu’en définitive, il ne connaissait pas cette personne. Il a encore précisé que son contrat de travail lui avait été remis par V.________ et que, dans ses souvenirs, c’était lui qui l’avait licencié car il n’y avait pas assez de travail (PV d’audition n° 4). L’appelant ne donne aucune raison de douter de ce témoignage, qu’il ne mentionne d’ailleurs même pas dans sa déclaration d’appel. Il n’existe dès lors aucun motif pour s’en écarter. On relève ensuite que, lors de l’ouverture du compte bancaire auprès de la BCV, V.________ s’est désigné comme détenteur de contrôle de la société Q.________ Sàrl et a bénéficié d’un droit de signature individuelle qu’il a conservé jusqu’au 6 septembre 2017, date à laquelle F.________ a disposé de ce droit (cf. P. 4/7). C’est du reste à cette date que ce dernier a demandé le blocage de la carte de débit (Maestro) utilisée jusque-là par l’appelant. Au vu de ces éléments, il est manifeste que V.________ est demeuré organe de fait de Q.________ Sàrl après la cession des parts sociales, dès lors qu’il a non seulement conservé un pouvoir de signature individuelle et unique sur le compte de la société, et qu’il a lui-même procédé aux retraits litigieux jusqu’au 4 septembre 2017, mais également qu’il assurait seul la gestion de l’entreprise, comme cela ressort du témoignage d’H.________, ainsi que des déclarations de F.________. Sa position de gérant est avérée, de sorte que ce grief doit être rejeté.</w:t>
      </w:r>
    </w:p>
    <w:p>
      <w:r>
        <w:rPr>
          <w:b/>
        </w:rPr>
        <w:t>E. 5.2.3</w:t>
      </w:r>
    </w:p>
    <w:p>
      <w:r>
        <w:t>Dans un dernier moyen, l’appelant fait valoir que la faillite de Q.________ Sàrl serait uniquement due aux deux retraits frauduleux effectués par F.________. Cet argument est téméraire. On ne saurait en effet soutenir que les seuls prélèvements de ce dernier auraient constitué l’entier du dommage, qui ne serait pas en lien avec les prélèvements injustifiés de l’appelant, alors que ceux-ci ont été de l’ordre du décuple de ceux de son coaccusé. Le grief doit en conséquence être rejeté.</w:t>
      </w:r>
    </w:p>
    <w:p>
      <w:r>
        <w:rPr>
          <w:b/>
        </w:rPr>
        <w:t>E. 6</w:t>
      </w:r>
    </w:p>
    <w:p>
      <w:r>
        <w:t>Il s’ensuit que la condamnation de V.________ pour gestion déloyale aggravée et blanchiment d’argent doit être confirmée, l’appelant ne contestant pas, à titre subsidiaire, la réalisation des éléments constitutifs de ces infractions. II. Appel de F.________</w:t>
      </w:r>
    </w:p>
    <w:p>
      <w:r>
        <w:rPr>
          <w:b/>
        </w:rPr>
        <w:t>E. 7</w:t>
      </w:r>
    </w:p>
    <w:p>
      <w:r>
        <w:t>Dans sa déclaration d’appel, F.________ commence par exposer sa version des faits, relevant n’avoir, pour sa part, effectué que deux retraits d’argent sur le compte de Q.________ Sàrl, soit les 6 et 8 septembre 2017. Il explique en outre avoir racheté les parts sociales de cette société au prix de 30'000 fr. parce que V.________ lui avait promis des commandes qui ne seraient toutefois jamais arrivées. C’est pour cette raison qu’il ne lui aurait pas versé le montant susmentionné. Il indique ensuite n’avoir pas exercé son rôle de gérant, notamment auprès des employés, comme l’avait confirmé le témoin H.________ en déclarant que V.________ était son seul supérieur hiérarchique. De plus, ne maîtrisant pas bien le français et ne connaissant rien à la gestion de société et au droit suisse, il affirme avoir été sous l’ascendant de V.________, lequel était, au contraire et vu son passé professionnel, rompu aux affaires. Enfin, il souligne avoir déposé plainte contre ce dernier pour escroquerie, chantage et menaces, expliquant qu’il n’aurait certainement pas agi de la sorte s’il avait voulu dissimuler ses agissements pénaux, puisqu’il exposait ses propres retraits d’argent dans sa plainte (cf. déclaration d’appel, pp. 4 à 8). Ce faisant, l’appelant ne fait que répéter sa version des faits, telle qu’il l’a déjà exposée précédemment, sans prendre position sur l’état de fait soigneusement arrêté par les premiers juges de manière conforme aux éléments du dossier. Sa critique n’est pas de nature à ébranler les constatations du jugement.</w:t>
      </w:r>
    </w:p>
    <w:p>
      <w:r>
        <w:rPr>
          <w:b/>
        </w:rPr>
        <w:t>E. 8</w:t>
      </w:r>
    </w:p>
    <w:p>
      <w:r>
        <w:t>septembre 2017, elle ressort des propres déclarations de l’appelant, qui a admis, lors de son audition par la police, le 17 janvier 2022, les avoir utilisés, non pas dans l’intérêts de la société, mais pour payer des dettes en Allemagne et au Kosovo (PV d’audition n° 3, p. 9). En ce qui concerne E.________ et son frère, si on ne connaît pas leur rôle dans le cadre des faits dénoncés par l’appelant dans sa plainte du 18 décembre 2017, c’est parce que celui-ci s’est désintéressé de la procédure, qui a été clôturée par une ordonnance de non-entrée matière (cf. P. 7/1), contre laquelle aucun recours n’a été déposé. L’appelant est dès lors malvenu de se prévaloir de sa plainte. Pour le surplus, le rôle éventuel joué par les frères [...] ne saurait en aucun cas justifier des actes de gestion déloyale, étant rappelé que l’appelant a lui-même reconnu avoir prélevé 77'500 fr. pour ses besoins personnels. Enfin, on ne distingue pas en quoi les premiers juges auraient mal apprécié les déclarations de l’appelant. Au contraire, après avoir scrupuleusement repris les explications données par celui-ci au procureur, aux autorités allemandes et aux débats (cf., jgt, pp. 26 à 27), le Tribunal correctionnel a exposé pour quels motifs l’appelant ne pouvait être cru lorsqu’il affirmait, en substance, qu’il n’avait exercé aucune activité dirigeante ou administrative au sein de la société. A cet égard et avec les premiers juges, on ne peut que constater que l’appelant a signé la convention de cession attestant de la reprise de Q.________ Sàrl et qu’il a, dès mai 2017, été inscrit commune l’unique gérant au Registre du commerce, s’engageant ainsi, et quoi qu’il en dise, à gérer les affaires courantes de la société, à agir dans l’intérêt de celle-ci et à respecter la loi. En définitive, on ne distingue aucune violation de la présomption d’innocence, de sorte que ce grief doit être rejeté.</w:t>
      </w:r>
    </w:p>
    <w:p>
      <w:r>
        <w:rPr>
          <w:b/>
        </w:rPr>
        <w:t>E. 8.1</w:t>
      </w:r>
    </w:p>
    <w:p>
      <w:r>
        <w:t>Les principes relatifs à la présomption d’innocence ont été rappelés ci-dessus (cf. supra consid. 5.1).</w:t>
      </w:r>
    </w:p>
    <w:p>
      <w:r>
        <w:rPr>
          <w:b/>
        </w:rPr>
        <w:t>E. 8.2</w:t>
      </w:r>
    </w:p>
    <w:p>
      <w:r>
        <w:t>L’essentiel des arguments soulevés par l’appelant ne convainc pas. Certes, on ne dispose pas de la « convention interne » passée entre V.________ et F.________. Cela est toutefois sans importance, puisque tous deux s’accordent sur le fait que celle-ci prévoyait la cession des parts sociales pour le prix de 30'000 fr., lesquels n’ont finalement jamais été versés. Pour le reste, quel que soit le contenu des autres clauses, celles-ci ne pouvaient de toute manière pas constituer un blanc-seing pour autoriser l’un ou l’autre des appelants à commettre des actes de gestion déloyale au détriment de leur société. S’agissant de l’utilisation effective des fonds prélevés les 6 et</w:t>
      </w:r>
    </w:p>
    <w:p>
      <w:r>
        <w:rPr>
          <w:b/>
        </w:rPr>
        <w:t>E. 9</w:t>
      </w:r>
    </w:p>
    <w:p>
      <w:r>
        <w:t>L’appelant considère que les éléments constitutifs de l’infraction de gestion déloyale au sens de l’art. 158 CP ne sont pas réalisés.</w:t>
      </w:r>
    </w:p>
    <w:p>
      <w:r>
        <w:rPr>
          <w:b/>
        </w:rPr>
        <w:t>E. 9.1.1</w:t>
      </w:r>
    </w:p>
    <w:p>
      <w:r>
        <w:t>L'art. 158 ch. 1 CP punit quiconque, en vertu de la loi, d'un mandat officiel ou d'un acte juridique, est tenu de gérer les intérêts pécuniaires d'autrui ou de veiller sur leur gestion et qui, en violation de ses devoirs, porte atteinte à ces intérêts ou permet qu'ils soient lésés (al. 1). Le cas de la gestion déloyale aggravée est réalisé lorsque l'auteur agit dans le dessein de se procurer ou de procurer à un tiers un enrichissement illégitime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 TF 6B_52/2022 du 16 mars 2023 consid. 4.1.5).</w:t>
      </w:r>
    </w:p>
    <w:p>
      <w:r>
        <w:rPr>
          <w:b/>
        </w:rPr>
        <w:t>E. 9.1.2</w:t>
      </w:r>
    </w:p>
    <w:p>
      <w:r>
        <w:t>Selon la jurisprudence, revêt la qualité de gérant celui à qui il incombe, de fait ou formellement, la responsabilité d'administrer un complexe patrimonial non négligeable dans l'intérêt d'autrui (ATF 142 IV 346 consid. 3.2;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ATF 123 IV 17 consid. 3b ; TF 7B_24/2023 du 22 février 2024 consid. 3.3.1).</w:t>
      </w:r>
    </w:p>
    <w:p>
      <w:r>
        <w:rPr>
          <w:b/>
        </w:rPr>
        <w:t>E. 9.1.3</w:t>
      </w:r>
    </w:p>
    <w:p>
      <w:r>
        <w:t>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ATF 120 IV 190 consid. 2b ; TF 6B_988/2021 du 2 février 2022 consid. 2.1.2).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précité et les références citées).</w:t>
      </w:r>
    </w:p>
    <w:p>
      <w:r>
        <w:rPr>
          <w:b/>
        </w:rPr>
        <w:t>E. 9.1.4</w:t>
      </w:r>
    </w:p>
    <w:p>
      <w:r>
        <w:t>L'infraction n'est consommée que s'il y a eu préjudice, notion qui doit être comprise comme pour les autres infractions contre le patrimoine, en particulier l'escroquerie (ATF 122 IV 279 consid. 2a).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 ATF 129 IV 124 consid. 3.1). Seul le préjudice causé aux intérêts pécuniaires sur lesquels le gérant a un devoir de gestion ou de surveillance peut être pris en considération (ATF 97 IV 16 consid. 4, JdT 1971 IV 103 ; TF 6B_280/2022 du</w:t>
      </w:r>
    </w:p>
    <w:p>
      <w:r>
        <w:rPr>
          <w:b/>
        </w:rPr>
        <w:t>E. 9.1.5</w:t>
      </w:r>
    </w:p>
    <w:p>
      <w:r>
        <w:t>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Dans sa forme aggravée, il faut encore que l'auteur ait agi dans un dessein d'enrichissement illégitime (TF 6B_438/2019 du 28 mai 2019 consid. 4.1). Dans ce cas, l’infraction devient un crime et la peine encourue passe à une peine privative de liberté de cinq ans au plus (Dupuis et al. [éd.], Code pénal, Petit commentaire, Bâle 2017, n. 30 ad art. 158 CP).</w:t>
      </w:r>
    </w:p>
    <w:p>
      <w:r>
        <w:rPr>
          <w:b/>
        </w:rPr>
        <w:t>E. 9.2.1</w:t>
      </w:r>
    </w:p>
    <w:p>
      <w:r>
        <w:t>L’appelant conteste avoir revêtu la qualité de gérant. Il soutient qu’il n’aurait pas bénéficié d’un pouvoir de disposition autonome. Il indique en outre qu’il n’a « accompli aucune tâche digne d’un gérant ». Ainsi, il n’a eu aucun contact avec les employés et, durant plusieurs mois, n’a pas été inscrit comme personne autorisée auprès de la BCV. Partant, faute de pouvoir de gestion, les premiers juges ne pouvaient lui reprocher d’avoir violé des devoirs inhérents à la qualité de gérant. En l’occurrence, l’absence de pouvoir de gestion autonome est contredite par les retraits que l’appelant a lui-même effectués les 6 et 8 septembre 2017. Ces retraits établissent son pouvoir dans les faits. L’appelant était en outre inscrit comme gérant au Registre du commerce dès le début du mois de mai 2017, devenant, dès cet instant, un organe juridique et formel. Il se devait donc d’agir en respectant les intérêts de la société et conformément à la loi. Pour le reste, l’appelant ne prétend pas qu’il aurait agi correctement à l’endroit de Q.________ Sàrl en retirant l’argent du compte BCV. La position de gérant et la faute de gestion sont ainsi établies.</w:t>
      </w:r>
    </w:p>
    <w:p>
      <w:r>
        <w:rPr>
          <w:b/>
        </w:rPr>
        <w:t>E. 9.2.2</w:t>
      </w:r>
    </w:p>
    <w:p>
      <w:r>
        <w:t>L’appelant conteste avoir causé un dommage à la société. Il soutient que les affaires de Q.________ Sàrl allaient bien, que l’entreprise encaissait des dizaines de milliers de francs et que les fournisseurs étaient satisfaits, aucun d’entre eux n’ayant engagé d’action en justice pour des impayés. Il soutient en outre qu’il ne serait pas possible d’établir l’existence d’un dommage, puisqu’aucune comptabilité n’a été tenue. L’argument est téméraire. En effet, l’appelant a admis lui-même que les deux retraits qu’il a opérés l’avaient été à son seul profit. De plus, il reconnait n’avoir rien fait pour la société, de sorte qu’il ne saurait soutenir qu’il aurait eu droit à une rémunération. Enfin, force est de constater que la faillite de Q.________ Sàrl s’est soldée « faute d’actifs », avec un découvert aux poursuites de 18'885 fr. 60. L’appelant ne peut donc pas sérieusement faire valoir que ses retraits, totalisant 77'500 fr., n’ont pas causé de dommage à la société. Le moyen doit être rejeté.</w:t>
      </w:r>
    </w:p>
    <w:p>
      <w:r>
        <w:rPr>
          <w:b/>
        </w:rPr>
        <w:t>E. 9.2.3</w:t>
      </w:r>
    </w:p>
    <w:p>
      <w:r>
        <w:t>L’appelant conteste l’élément subjectif. D’une part, il considère qu’il ne peut être tenu responsable des montants prélevés par V.________. D’autre part, il soutient, s’agissant de ses propres prélèvements, qu’il ne ressortirait pas du dossier qu’il aurait eu l’intention de commettre l’infraction de gestion déloyale, même par dol éventuel, dès lors qu’il n’aurait pas eu conscience de causer un dommage ni d’agir illicitement. Subsidiairement, il fait valoir une erreur sur les faits (art. 13 CP), dans la mesure où il ne connaissait rien à la gestion de société, de sorte qu’il ne pouvait savoir que son comportement aurait pu causer un dommage à Q.________ Sàrl. Plus subsidiairement, il invoque une erreur de droit (art. 21), pour le motif qu’il n’est pas originaire de Suisse, qu’il ne parle pas français et qu’il était âgé d’une vingtaine d’années au moment des faits. Il ne pouvait dès lors avoir conscience que son comportement était illicite.</w:t>
      </w:r>
    </w:p>
    <w:p>
      <w:r>
        <w:rPr>
          <w:b/>
        </w:rPr>
        <w:t>E. 9.2.3.1</w:t>
      </w:r>
    </w:p>
    <w:p>
      <w:r>
        <w:t>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délictueuse fait alors défaut. Dans une telle configuration, l'auteur doit être jugé selon son appréciation erronée, si celle-ci lui est favorable (ATF 129 IV 238 consid. 3.1, JdT 2005 IV 87 ; TF 6B_1180/2022 du 15 juin 2023 consid. 2.1 ; TF 6B_943/2019 du 7 février 2020 consid. 4.1 ; TF 6B_1012/2017 du 23 mars 2018 consid. 2.1 ; TF 6B_996/2017 du 7 mars 2018 consid. 4.2).</w:t>
      </w:r>
    </w:p>
    <w:p>
      <w:r>
        <w:rPr>
          <w:b/>
        </w:rPr>
        <w:t>E. 9.2.3.2</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références citées, JdT 2016 I 200 ; ATF 129 IV 238 consid. 3.1 ; TF 6B_1398/2022 du 12 mai 2023 consid. 1.1.1). La réglementation relative à l'erreur sur l'illicéité repose sur l'idée que le justiciable doit faire tout son possible pour connaître la loi et que son ignorance ne le protège que dans des cas exceptionnels (ATF 129 IV 238 consid. 3.1 ; TF 6B_1398/2022 précité ; TF 6B_706/2019 du 13 août 2019 consid. 2.1). Pour exclure l'erreur de droit, il suffit que l'auteur ait eu le sentiment de faire quelque chose de contraire à ce qui se doit ou qu'il eût dû avoir ce sentiment (ATF 129 IV 6 consid. 4.1 ; TF 6B_706/2019 précité ; TF 6B_77/2019 du 11 février 2019 consid. 2.1 non publié à l’ATF 145 IV 17).</w:t>
      </w:r>
    </w:p>
    <w:p>
      <w:r>
        <w:rPr>
          <w:b/>
        </w:rPr>
        <w:t>E. 9.2.3.3</w:t>
      </w:r>
    </w:p>
    <w:p>
      <w:r>
        <w:t>En l’espèce, l’appelant a admis avoir prélevé de l’argent pour ses besoins personnels. Il ne conteste pas non plus l’affirmation des premiers juges, selon laquelle il a agi de la sorte après avoir constaté que V.________ en avait fait de même auparavant (cf, jgt, p. 27). On ne voit dès lors pas comment il aurait pu ignorer qu’en dévalisant la société, il lui porterait préjudice, tout comme V.________ l’avait fait précédemment. On ne distingue rien qui viendrait accréditer une perception erronée des faits. Quant à l’erreur sur l’illicéité, celle-ci pourrait être envisagée si l’appelant se prévalait d’un alibi culturel et démontrait qu’en Suède, pays dont il est ressortissant, on a le droit de piller sa société jusqu’à sa faillite, ce qu’il ne tente même pas de faire. En définitive, il faut retenir, à l’instar des premiers juges, que l’appelant a agi de manière délibérée, avec conscience et volonté de s’enrichir au détriment des intérêts de la société. Les griefs invoqués doivent dès lors être rejetés.</w:t>
      </w:r>
    </w:p>
    <w:p>
      <w:r>
        <w:rPr>
          <w:b/>
        </w:rPr>
        <w:t>E. 9.3</w:t>
      </w:r>
    </w:p>
    <w:p>
      <w:r>
        <w:t>Au vu de ce qui précède, c’est à juste titre que les premiers juges ont retenu que tous les éléments objectifs et subjectifs de l’infraction de gestion déloyale aggravée au sens de l’art. 158 ch. 1 al. 3 CP étaient réalisés. La condamnation de l’appelant pour ce chef d’accusation doit dès lors être confirmée. 10. L’appelant conteste sa condamnation pour blanchiment d’argent, faisant valoir que la provenance criminelle de l’argent qu’il a retiré ne serait pas réalisée, sans qu’il soit « nécessaire d’examiner la condition de l’entrave ». 10.1 Aux termes de l'art. 305 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Les valeurs patrimoniales blanchies doivent provenir d'un crime au sens de l'art. 10 al. 2 CP, soit d'une infraction passible d'une peine privative de liberté de plus de trois ans. Conformément à la jurisprudence, l'infraction de blanchiment d'argent est également réalisée lorsque l'auteur blanchit des valeurs patrimoniales qu'il a lui-même obtenues par la commission d'un crime (ATF 144 IV 172 consid. 7.2 ; ATF 128 IV 118 consid. 7a ; TF 6B_239/2023 du 10 août 2023 consid. 3.1).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ATF 144 IV 172 consid. 7.2.2 ; TF 6B_1016/2023 du 19 mars 2024 consid. 2.1.2.). L'acte d'entrave peut être constitué par n'importe quel comportement propre à faire obstacle à l'identification de l'origine, la découverte ou la confiscation de la valeur patrimoniale provenant d'un crime (ATF 136 IV 188 consid. 6.1 et les références citées). L’autofavorisation est punissable (ATF 145 IV 335 consid. 3.1, JdT 2020 IV 15 ; ATF 126 IV 255 consid. 3a ; ATF 124 IV 274 consid. 3 ; ATF 120 IV 323 consid. 3). Le prélèvement de valeurs patrimoniales en espèces représente habituellement un acte de blanchiment, puisque les mouvements des avoirs ne peuvent plus être suivis au moyen de documents bancaires (TF 6B_239/2023 précité ; TF 6B_295/2022 du 15 septembre 2022 consid. 1.2 et les références citées). L'infraction de blanchiment d'argent est intentionnelle, le dol éventuel étant suffisant (ATF 149 IV 248 consid. 6.3).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consid. 6.3 ; ATF 122 IV 211 consid. 2e ; ATF 119 IV 242 consid. 2b ; TF 6B_1016/2023 précité consid. 2.1.3). 10.2 L’argumentation de l’appelant repose sur la prémisse, non réalisée en l’espèce, qu’il n’aurait pas commis l’infraction de gestion déloyale aggravée au sens de l’art. 158 ch. 1 al. 3 CP. Tel n’est pas le cas, sa condamnation pour ce chef d’accusation devant être confirmée (cf. supra consid. 9). Il s’ensuit que la provenance criminelle des fonds est réalisée. Par ailleurs, de jurisprudence constante, le fait de prélever des valeurs patrimoniales en espèces constitue un acte de blanchiment. La condamnation de l’appelant pour blanchiment d’argent doit dès lors être confirmée. 11. Dans un dernier moyen, l’appelant reproche au Tribunal correctionnel d’avoir retenu qu’il avait agi « de concert » avec V.________. Ce faisant, il conteste implicitement la coactivité retenue dans le jugement. 11.1 Contrairement au complice, qui est un participant secondaire qui prête assistance pour commettre un crime ou un délit (ATF 144 IV 265 consid. 2.3.2 ; ATF 132 IV 49 consid. 1.1 ; TF 6B_1166/2023 du 13 juin 2024 consid. 1.2, non publié à l’ATF 150 IV 338),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6B_1166/2023 précité). 11.2 En l’espèce, à l’instar des premiers juges, la Cour de céans considère qu’en acquérant la société Q.________ Sàrl, puis en s’inscrivant, au début du mois de mai 2017, en tant que gérant unique au Registre du commerce, F.________ a obtenu le statut d’organe juridique et formel. En cette qualité, il était responsable de tout manquement à ses devoirs envers la société. Par ailleurs, même à supposer qu’il se soit limité à exécuter aveuglement les directives de V.________ ou qu’il n’ait pas exercé sa fonction comme il pouvait et devait le faire, il n’en reste pas moins qu’il a, en sa qualité de gérant, participé à la gestion et à l’administration de Q.________ Sàrl. A cet égard, le fait qu’il a lui-même prélevé des fonds sur le compte de la société dès le 6 septembre 2017, comme l’avait précédemment fait V.________, confirme qu’il avait la capacité d’agir autrement que de manière passive dans la gestion de l’entreprise. En tant que gérant, il avait le devoir d’agir conformément aux intérêts de la société et ne pouvait, pour justifier son inaction, s’abriter sur le fait que V.________ devait lui fournir du travail. Au contraire, il lui incombait d’assumer pleinement ses responsabilités et de prendre toutes les mesures nécessaires afin d’adopter une conduite irréprochable et pleinement conforme à ses devoirs, ce qu’il n’a pas fait, permettant ainsi à V.________ de s’enrichir au détriment de la société. Il faut donc admettre, avec les premiers juges, que tous deux ont agi de concert sur le patrimoine de Q.________ Sàrl, en pillant chacun à leur tour les liquidités de la société. La coactivité est dès lors manifeste. III. Peines 12. Les appelants, qui concluent à leur acquittement, ne contestent pas, à titre subsidiaire, la quotité de la peine prononcée à leur encontre. Certes, F.________ paraît, à tout le moins implicitement, demander une réduction de la peine, en faisant valoir qu’il n’aurait pas été un coauteur, mais ce grief doit être rejeté, comme on l’a vu ci-dessus (cf. supra , consid. 11.2). En l’espèce, les premiers juges ont considéré qu’une peine privative de liberté de 15 mois, avec sursis pendant 3 ans, devait sanctionner le comportement de V.________ et F.________. Vérifiée d’office, cette peine, qui a été fixée en application des critères légaux à charge et à décharge, et conformément à la culpabilité et à la situation personnelle de chacun des appelants, est adéquate et peut être confirmée. Il peut être renvoyé à cet égard à la motivation des premiers juges (cf. jgt, pp. 40 et 41 ; art. 82 al. 4 CPP), qui est claire et convaincante. IV. Frais et indemnité En définitive, les appels de V.________ et F.________ doivent être rejetés et le jugement entrepris confirmé. Me Vanessa Lucas, défenseur d’office de F.________, a produit une liste d’opérations dans laquelle elle indique une activité nécessaire d’avocat de 15h40, ce qui est adéquat. On y ajoutera 1h20 pour tenir compte de la durée des débats d’appel. L’indemnité due sera dès lors fixée à 3’060 fr. (17h00 x 180), plus une vacation, par 120 fr.,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61 fr. 20, et la TVA à 8,1 %, par 262 fr. 55, soit à un total de 3'503 fr. 75. Vu l’issue de la cause, les frais communs de la procédure d’appel, par 3’340 fr., constitués des émoluments de jugement et d’audience (art. 21 al. 1 et 2 TFIP), seront mis par moitié, soit par 1’670 fr., à la charge de V.________ et par moitié, soit par 1’670 fr., à la charge de F.________, lesquels succombent (art. 428 al. 1 CPP). F.________ supportera en outre l’indemnité allouée à son défenseur d’office, par 3'503 fr. 75. F.________ sera tenu de rembourser à l’Etat l’indemnité en faveur de son défenseur d’office dès que sa situation financière le permettra.</w:t>
      </w:r>
    </w:p>
    <w:p>
      <w:r>
        <w:rPr>
          <w:b/>
        </w:rPr>
        <w:t>E. 14</w:t>
      </w:r>
    </w:p>
    <w:p>
      <w:r>
        <w:t>avril 2023). Il n'est pas nécessaire que le dommage corresponde à l'enrichissement de l'auteur, ni qu'il soit chiffré ; il suffit qu'il soit certain (ATF 123 IV 17 consid.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