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472 vom 30. September 2022</w:t>
      </w:r>
    </w:p>
    <w:p>
      <w:r>
        <w:t>VD Tribunal cantonal, 2022-09-30, FR</w:t>
      </w:r>
    </w:p>
    <w:p>
      <w:r>
        <w:rPr>
          <w:b/>
        </w:rPr>
        <w:t xml:space="preserve">Quelle: </w:t>
      </w:r>
      <w:r>
        <w:t>https://mcp.opencaselaw.ch/entscheid/vd_findinfo_Jug___2024___472</w:t>
      </w:r>
    </w:p>
    <w:p>
      <w:r>
        <w:t>FR: VD_FINDINFO Jug / 2024 / 472 du 30 septembre 2022</w:t>
      </w:r>
    </w:p>
    <w:p>
      <w:r>
        <w:t>IT: VD_FINDINFO Jug / 2024 / 472 del 30 settembre 2022</w:t>
      </w:r>
    </w:p>
    <w:p>
      <w:pPr>
        <w:pStyle w:val="Heading2"/>
      </w:pPr>
      <w:r>
        <w:t>Regeste</w:t>
      </w:r>
    </w:p>
    <w:p>
      <w:r>
        <w:t>RÉVISION{DÉCISION}, DEMANDE ADRESSÉE À L'AUTORITÉ, NOUVEAU MOYEN DE FAIT, NOUVEAU MOYEN DE PREUVE | 410 al. 1 let. a CPP (CH), 412 al. 1 CPP (CH), 412 al. 2 CPP (CH)</w:t>
      </w:r>
    </w:p>
    <w:p>
      <w:pPr>
        <w:pStyle w:val="Heading2"/>
      </w:pPr>
      <w:r>
        <w:t>Erwägungen</w:t>
      </w:r>
    </w:p>
    <w:p>
      <w:r>
        <w:rPr>
          <w:b/>
        </w:rPr>
        <w:t>E. 1</w:t>
      </w:r>
    </w:p>
    <w:p>
      <w:r>
        <w:t>Fondée sur de nouveaux moyens de preuve (art. 410 al. 1 let. a CPP [Code de procédure pénale suisse du 5 octobre 2007 ; RS 312.0]), la demande de révision présentée par le requérant n’est soumise à l’observation d’aucun délai particulier et peut donc être déposée en tout temps (art. 411 al. 2 in fine CPP). Le requérant a, en tant que condamné, qualité pour demander la révision du jugement rendu par la Cour d’appel pénale le 28 mars 2023. En outre, dans son arrêt du 1 er juillet 2024, la Ire Cour de droit pénal du Tribunal fédéral n’a pas complété ni rectifié les faits établis par la Cour d’appel pénale dans son jugement du 28 mars 2023, de sorte que cette dernière autorité est compétente pour examiner les moyens invoqués par le requérant (ATF 134 IV 48 consid. 1 ; TF 6F_30/2020 du 28 octobre 2020 consid. 3.2 ; TF 6F_16/2020 du 3 juin 2020 consid. 1.1). La requête remplit donc les conditions formelles de recevabilité.</w:t>
      </w:r>
    </w:p>
    <w:p>
      <w:r>
        <w:rPr>
          <w:b/>
        </w:rPr>
        <w:t>E. 2.1</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consid. 5.1.4 ; TF 6B_731/2020 du 1 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 6B_813/2020 du 22 juillet 2020 consid. 1.1 ; TF 6B_297/2020 précité consid. 1.1.2 ; TF 6B_324/2019 du 24 avril 2019 consid. 3.1). Déterminer si un fait nouveau ou un moyen de preuve nouveau est propre à modifier l’état de fait retenu est une question de fait, puisqu’elle relève de l’appréciation des preuves, étant précisé qu’une vraisemblance suffit au stade du rescindant (TF 6B_324/2019 précité consid. 3.2).</w:t>
      </w:r>
    </w:p>
    <w:p>
      <w:r>
        <w:rPr>
          <w:b/>
        </w:rPr>
        <w:t>E. 2.2</w:t>
      </w:r>
    </w:p>
    <w:p>
      <w:r>
        <w:t>S’agissant des infractions commises à l’encontre de l’enfant S.________, belle-fille du requérant, la Cour d’appel pénale a retenu que l’argumentation des premiers juges était convaincante et reposait sur un ensemble de preuves concordantes, soit : les dépositions des deux victimes étaient crédibles, mesurées et concordantes, et aucun mobile ni aucun motif à élaborer de fausses accusations n’était décelable ; le récit de l’enfant, âgée de 12 ou 14 ans au moment des faits, était conforté par des indices matériels comme des traces de perforations anciennes de l'hymen révélées lors d'un contrôle gynécologique au Centre universitaire romand de médecine légale (ci-après : CURML) et l'entorse au bras du 27 juillet 2019 relevée dans un rapport de l'Hôpital de l'enfance ; le souhait de l’enfant, avant de quitter l'hôpital, et de sa mère, T.________, de loger dans une chambre séparée du requérant ; l'intérêt sexuel du requérant pour l’enfant ressortait de photographies d'elle dénudée enregistrées dans son téléphone portable et de la consultation de productions pornographiques mettant en scène, selon leurs titres, des relations sexuelles entre beau-père et belle-fille ; les circonstances du dévoilement confortaient les versions des victimes ; ce n'était ni par intérêt ni pour nuire au requérant, qui ne vivait plus dans le même logement qu’elle depuis plusieurs mois, que l’enfant avait révélé avoir été abusée à une inspectrice qui l’interrogeait sur une bagarre entre jeunes ; l’enfant avait fait des confidences par téléphone à sa grand-mère en Afrique qui l’avait élevée, ainsi qu’à sa mère qui avait décidé de ne rien dévoiler aux autorités par crainte de compromettre leur procédure d’asile, la prétendue famille qu’elle formait avec le requérant étant inventée ; comme moyen de défense, un logement distinct de celui du requérant avait été demandé le 2 août 2019 et obtenu en juin 2020 ; les abus sexuels du requérant à l’encontre de l’enfant et l’éventualité de les dénoncer avait été évoqués entre T.________ et sa mère au cours d’une conversation téléphonique dont l’enregistrement avait été produit ; enfin, les abus avaient laissé des traces dans le psychisme des plaignantes, en particulier dans celui de l’enfant qui adoptait des conduites à risque, souffrait d'une symptomatologie post-traumatique et avait dû être placée. S’agissant des infractions sexuelles commises à l’encontre de T.________, la Cour d’appel pénale a retenu que les premiers juges avaient exposé les motifs qui les avaient conduits à tenir pour conformes à la vérité les mises en cause de la victime : en substance, ses déclarations étaient concordantes et crédibles ; la plaignante était constante et mesurée et n’en rajoutait pas, notamment pour l’épisode de la tentative de viol ; elle livrait des détails qui ne s’inventaient pas, soit notamment qu’après avoir été prise en dormant, elle s’était vêtue pour dormir d’un jeans ou d’un short afin d’éviter une réitération ; elle avait raconté que le requérant lui avait jeté de l’argent – qu’elle avait refusé – après l’avoir violée en août 2019 ; l’enfant avait confirmé que sa mère avait été forcée à trois reprises ; l’immobilisation des mains de la victime empoignées d’une seule main par l’auteur apparaissait dans le récit des deux victimes dans trois cas ; et le dossier et l’audience n’avaient fait apparaître chez les deux victimes aucune haine à l’encontre du requérant mais de la souffrance. La Cour a retenu que la culpabilité du requérant devait être confirmée sans l’ombre du moindre doute.</w:t>
      </w:r>
    </w:p>
    <w:p>
      <w:r>
        <w:rPr>
          <w:b/>
        </w:rPr>
        <w:t>E. 2.3</w:t>
      </w:r>
    </w:p>
    <w:p>
      <w:r>
        <w:t>Le requérant fait valoir que, lors d’une visite le 7 mars 2024 à la prison de La Croisée, Me Baudraz a recueilli « par hasard » les confidences du détenu E.________, dont il est l’avocat dans le cadre d’une enquête pénale distincte. E.________ a déclaré à Me Baudraz qu’il connaissait le requérant car sa compagne F.________ et S.________ étaient amies, qu’il savait qu’une procédure pénale était ouverte à l’encontre du requérant dès lors que tous deux s’étaient brièvement rencontrés en octobre 2023 lorsqu’ils étaient en détention et que sa compagne F.________ lui aurait rapporté que S.________ s’était confiée à elle en lui expliquant avoir inventé ses accusations de viol et d’attouchements sexuels car il avait eu connaissance d’un vol qu’elle aurait tenté de commettre à l’encontre du requérant avec l’aide d’un complice dénommé G.________, lui-même actuellement également détenu à la prison de La Croisée. Le requérant invoque la sincérité des déclarations d’E.________ à son avocat dans la mesure où celui-ci n’aurait aucune raison de faire de fausses déclarations à propos d’une procédure qui ne le concerne pas. Il estime que ces déclarations confortent ses affirmations répétées en cours d’enquête selon lesquelles il aurait été la victime d’une « escroquerie » perpétrée par S.________ qui l’aurait faussement accusé. Dans ces conditions, le requérant sollicite les auditions d’E.________, F.________, G.________, S.________ et T.________ pour établir les éléments qu’il rapporte. Le requérant ne fait finalement valoir qu’un témoignage indirect dont la valeur probante est inexistante. S’y ajoute le contexte dans lequel le requérant et E.________ se sont rencontrés et ont échangé, à savoir en détention et à un moment où tous deux ont réalisé qu’ils avaient le même défenseur d’office. Enfin et surtout, les éléments de preuve matériels sur lesquels la Cour d’appel pénale a fondé son appréciation pour arrêter les faits concernant S.________ à l’encontre du requérant ne sont pas susceptibles d’être remis en cause par des déclarations de témoins indirects et/ou dépourvus de crédibilité : perforations anciennes de l'hymen révélées lors d'un contrôle gynécologique au CURML, entorse au bras du 27 juillet 2019 relevée dans un rapport de l'Hôpital de l'enfance, souhait de l’enfant – avant de quitter l'hôpital – et de sa mère de loger dans une chambre séparée du requérant, images de l’enfant dénudée enregistrées dans le téléphone portable du requérant, consultation par le requérant de vidéos pornographiques mettant en scène des relations sexuelles entre un beau-père et sa belle-fille, enregistrement d'un appel téléphonique entre T.________ et sa mère faisant état des abus sexuels du requérant à l’encontre de l’enfant et l’éventualité de les dénoncer, et enfin demande d’un logement distinct de celui du requérant en août 2019. En outre, le requérant se prévaut de moyens susceptibles selon lui de conduire à son acquittement concernant l’enfant, mais n’expose pas les motifs pour lesquels il devrait en aller de même concernant son ex-compagne. Dans de telles circonstances, les auditions requises ne méritent en aucun cas une confrontation avec les victimes des agissements du requérant. En d’autres termes, le témoignage des personnes dont le requérant sollicite l’audition n’apparaissent pas sérieux et propres à ébranler les constatations de fait sur lesquelles s’est fondée sa condamnation. Ces témoignages ne permettraient donc pas de modifier l’état de fait pour rendre possible un jugement qui lui serait sensiblement plus favorable.</w:t>
      </w:r>
    </w:p>
    <w:p>
      <w:r>
        <w:rPr>
          <w:b/>
        </w:rPr>
        <w:t>E. 3</w:t>
      </w:r>
    </w:p>
    <w:p>
      <w:r>
        <w:t>Les motifs invoqués par Y.________ apparaissant d’emblée non vraisemblables, la demande de révision doit être déclarée irrecevable. La liste d’opérations produite par Me Baudraz, défenseur d’office d’Y.________ pour la procédure de révision, indiquant 7,05 h effectuées par lui-même et 0,8 h effectuées par l’avocate-stagiaire Inès Sottas, est admise. Au tarif horaire de 180 fr. pour un avocat et de 110 fr. pour un avocat-stagiaire (art. 2 al. 1 let. a et b RAJ [règlement sur l'assistance judiciaire en matière civile du 7 décembre 2010 ; BLV 211.02.3] par renvoi de l’art. 26b TFIP [tarif des frais de procédure et indemnités en matière pénale du 28 septembre 2010 ; BLV 312.03.1]), le défraiement s’élève à 1'269 fr. pour Me Baudraz et à 88 fr. pour Me Sottas. Avec les débours à 2 %, soit 25 fr. 38 pour Me Baudraz et 1 fr. 76 pour Me Sottas, et la TVA de 8,1 % sur le tout, soit 112 fr. 12, l’indemnité totale s’élève à 1'496 fr. 25. Vu l’issue de la cause, les frais de la procédure de révision, par 880 fr. (art. 21 al. 1 TFIP par renvoi de l’art. 22 TFIP), ainsi que l'indemnité allouée au défenseur d'office, par 1'496 fr. 25, soit au total 2'376 fr. 25, seront mis à la charge de l'appelant, qui succombe (art. 428 al. 1 CPP). L'appelant sera tenu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