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45 vom 13. Juli 2023</w:t>
      </w:r>
    </w:p>
    <w:p>
      <w:r>
        <w:t>VD Tribunal cantonal, 2023-07-13, FR</w:t>
      </w:r>
    </w:p>
    <w:p>
      <w:r>
        <w:rPr>
          <w:b/>
        </w:rPr>
        <w:t xml:space="preserve">Quelle: </w:t>
      </w:r>
      <w:r>
        <w:t>https://mcp.opencaselaw.ch/entscheid/vd_findinfo_Jug___2024___45</w:t>
      </w:r>
    </w:p>
    <w:p>
      <w:r>
        <w:t>FR: VD_FINDINFO Jug / 2024 / 45 du 13 juillet 2023</w:t>
      </w:r>
    </w:p>
    <w:p>
      <w:r>
        <w:t>IT: VD_FINDINFO Jug / 2024 / 45 del 13 luglio 2023</w:t>
      </w:r>
    </w:p>
    <w:p>
      <w:pPr>
        <w:pStyle w:val="Heading2"/>
      </w:pPr>
      <w:r>
        <w:t>Regeste</w:t>
      </w:r>
    </w:p>
    <w:p>
      <w:r>
        <w:t>CONSTATATION DES FAITS, LÉSION CORPORELLE SIMPLE, MESURE DE SUBSTITUTION À LA DÉTENTION, DÉDUCTION, BRACELET ÉLECTRONIQUE | 123 CP, 51 CP, 10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M.G.________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conteste d'abord sa condamnation pour les cas relatés ci-dessus sous chiffres 2.1 à 2.5 (cas 1 à 5 de l'acte d'accusation). Il invoque une violation de la présomption d'innocence, en faisant valoir que les preuves ne seraient pas suffisantes pour le condamner, en raison notamment de déclarations variables ou sommaires de la plaignante qui ne seraient pas suffisantes. Il reproche aussi au premier juge une absence de motivation permettant de retenir à sa charge les lésions corporelles.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Aux termes de l'art. 123 ch. 1 al. 1 CP, quiconque, intentionnellement, aura fait subir à une personne une autre atteinte à l'intégrité corporelle ou à la santé sera, sur plainte, puni d'une peine privative de liberté de trois ans au plus ou d'une peine pécuniaire. L’auteur est poursuivi d’office, s’il fait usage du poison, d’une arme ou d’un objet dangereux (ch. 2 al. 2), s’il est le conjoint de la victime et que l’atteinte est commise durant le mariage ou dans l’année qui suit le divorce (ch. 2 al. 4).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3.3.1</w:t>
      </w:r>
    </w:p>
    <w:p>
      <w:r>
        <w:t>C'est en vain que l'appelant tente de décrédibiliser la plaignante en analysant ses déclarations cas par cas, dès lors que c'est au contraire à une appréciation d'ensemble des preuves à laquelle il faut procéder pour constater que celle-ci s'est montrée particulièrement mesurée dans ses déclarations et, surtout, que d'autres éléments probatoires confirment ses accusations, en particulier les constats des policiers qui sont intervenus au domicile des parties sur l'appel d'un des enfants du couple et les antécédents qui démontrent les actes de violence et la propension du prévenu à les commettre. En outre, le prévenu n'a pas nié les injures enregistrées lors d’une conversation téléphonique du 1 er décembre 2022 avec des membres de sa famille, alors qu'il était détenu à la prison de la Croisée, et qui montrent la considération réelle qu'il éprouve pour son épouse, les termes utilisés étant caractéristiques des auteurs de violence conjugale. Il est donc prouvé sans violation de la présomption d'innocence que le prévenu s'est montré violent, injurieux et menaçant à plusieurs reprises à l'encontre de son épouse et que les faits décrits sous ch. 1 à 5 de l'acte d'accusation sont établis à satisfaction de droit.</w:t>
      </w:r>
    </w:p>
    <w:p>
      <w:r>
        <w:rPr>
          <w:b/>
        </w:rPr>
        <w:t>E. 3.3.2</w:t>
      </w:r>
    </w:p>
    <w:p>
      <w:r>
        <w:t>Comme l’a retenu le premier juge (cf. jugement p. 36), en giflant son épouse, en lui assénant un coup à la tête avec son téléphone et en la rouant de coups de poing, notamment à la tête, l’appelant a fait subir à son épouse les lésions suivantes, soit des marques rouges au visage, des gonflements, des douleurs à la tête et un hématome au niveau des côtes à gauche. La description des lésions subies sous forme de marques au visage et d'hématomes suffit pour appliquer l'art. 123 CP, compte tenu des souffrances engendrées par la victime. Le fait qu'aucun constat médical n'ait été établi n'y change rien, dès lors qu'une photographie montrant une lésion a bien été produite et que le fait de rouer une personne de coups de poing est évidemment de nature à engendrer des lésions. Enfin les marques constatées par la police corroborent également l'existence de ces lésions. Les lésions constatées sont donc bien constitutives de lésions corporelles simples qualifiées au sens de l’art. 123 ch. 1 et 2 al. 2 et 4 CP.</w:t>
      </w:r>
    </w:p>
    <w:p>
      <w:r>
        <w:rPr>
          <w:b/>
        </w:rPr>
        <w:t>E. 4.1</w:t>
      </w:r>
    </w:p>
    <w:p>
      <w:r>
        <w:t>L'appelant conteste ensuite la révocation d'un précédent sursis. Il fait valoir que le premier juge n'a pas expliqué pourquoi il révoquait le précédant sursis et prononçait une nouvelle peine ferme, alors qu'il devait indiquer pour quel motif l'exécution d'une des deux peines ne suffisait pas.</w:t>
      </w:r>
    </w:p>
    <w:p>
      <w:r>
        <w:rPr>
          <w:b/>
        </w:rPr>
        <w:t>E. 4.2.1</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 TF 6B_392/2016 du 10 novembre 2016).</w:t>
      </w:r>
    </w:p>
    <w:p>
      <w:r>
        <w:rPr>
          <w:b/>
        </w:rPr>
        <w:t>E. 4.2.2</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4.3</w:t>
      </w:r>
    </w:p>
    <w:p>
      <w:r>
        <w:t>Les infractions réprimées ont été commises durant le délai d’épreuve du sursis assortissant la peine pécuniaire de 90 jours-amende à 40 fr. prononcée le 29 juin 2021 par le Ministère public de l’arrondissement de l’Est vaudois pour lésions corporelles simples avec un moyen dangereux et menaces (conjoint durant le mariage ou dans l’année qui a suivi le divorce). Or, c'est à juste titre que, dans le cadre de la présente cause, le premier juge a prononcé une peine privative de liberté ferme et qu’il a révoqué le sursis précédent. Le pronostic est en effet résolument défavorable. Les dénégations de l’appelant sont non seulement obstinées, mais humiliantes pour la plaignante. Celui-ci prétend ne pas se souvenir de sa précédente condamnation, pourtant récente, ce qui montre le réel intérêt qu'il porte à une condamnation avec sursis. Il ne veut pas présenter d'excuses et se place en victime (« elle ne s'est pas excusée non plus »). Il faut donc, pour que le prévenu mesure la gravité de son comportement, qu'il exécute les deux peines de nature différente d'ailleurs, cela afin de minimiser autant que faire se peut, le risque de récidive d'actes violents. Pour tous ces motifs, le pronostic examiné sous l'angle de l'art. 46 CP demeure totalement négatif et la peine infligée dans le cadre de la présente cause ne revêt pas à elle seule un effet dissuasif suffisant. Partant, le sursis accordé à l’appelant le 21 juin 2021 doit être révoqué.</w:t>
      </w:r>
    </w:p>
    <w:p>
      <w:r>
        <w:rPr>
          <w:b/>
        </w:rPr>
        <w:t>E. 5.1</w:t>
      </w:r>
    </w:p>
    <w:p>
      <w:r>
        <w:t>Le prévenu conteste enfin le refus du premier juge d'imputer une partie de la durée des mesures de substitution sur la peine privative de liberté. Il fait valoir que les interdictions de contact et de périmètres, le suivi auprès du Centre de prévention de l'Ale, l'assistance de probation et le port d'un bracelet électronique constituent des restrictions à sa liberté personnelle assimilables à de la détention, de sorte qu'un cinquième de la durée des mesures de substitution devrait être déduite de la peine privative de liberté.</w:t>
      </w:r>
    </w:p>
    <w:p>
      <w:r>
        <w:rPr>
          <w:b/>
        </w:rPr>
        <w:t>E. 5.2</w:t>
      </w:r>
    </w:p>
    <w:p>
      <w:r>
        <w:t>Aux termes de l'art. 51 CP, le juge impute sur la peine la détention avant jugement subie par l'auteur dans le cadre de l'affaire qui vient d'être jugée ou d'une autre procédure. Un jour de détention correspond à un jour-amende.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Selon la jurisprudence, seuls les cas où une différence notable sous l'angle de la privation de liberté, c'est-à-dire une différence importante, claire et indiscutable qui empêche l'assimilation avec une exécution de peine, s'opposent à l'imputation (ATF 117 IV 225 consid. 2b, arrêt 6B_1385/2019 du 27 février 2020 consid. 6.2). Dans un arrêt 6B 115/2018 du 30 avril 2018 (consid. 6), le Tribunal fédéral a admis qu'une déduction de deux jours de la peine privative de liberté prononcée, compte tenu des dix séances de thérapie auxquelles avait pris part l'intéressé à titre de mesures de substitution, ne violait pas le droit fédéral.</w:t>
      </w:r>
    </w:p>
    <w:p>
      <w:r>
        <w:rPr>
          <w:b/>
        </w:rPr>
        <w:t>E. 5.3</w:t>
      </w:r>
    </w:p>
    <w:p>
      <w:r>
        <w:t>Le premier juge a refusé de déduire une partie de la durée des mesures de substitution au motif que le prévenu ne les avait pas respectées. Il avait ainsi pris contact avec son épouse malgré l'interdiction et des avertissements à cet égard lui ont été adressés. La motivation du premier juge peut être confirmée, d'autant que les interdictions de contact et de périmètres étaient très restreintes. En revanche, le suivi thérapeutique doit faire l'objet d'une déduction de 2 jours pour les neuf séances suivies, ce qui inclut les rendez-vous avec le conseiller de probation. En outre, le port du bracelet électronique, respectivement l’assignation à résidence et les interdictions de périmètre qui en découlent, pour la période comprise entre le 13 février et le 13 juillet 2023, soit 5 mois, doit également faire l’objet d’une déduction de 5 jours. Partant, il convient de déduire 7 jours supplémentaires de la peine privative de liberté prononcée à l’encontre de l’appelant, à titre de compensation des mesures de substitution à la détention pour la procédure de première instance. Depuis l'arrêt rendu le 9 août 2023, la détention pour des motifs de sûreté de l’appelant, ordonnée par le premier juge, a été levée et l'appelant a fait de nouveau l'objet de mesures de substitution, lesquelles sont caduques depuis le 12 septembre 2023. La détention pour des motifs de sûreté a duré du 13 juillet au 14 août 2023 et devra être déduite de la peine. Pour le reste, il n'y a pas lieu à déduction supplémentaire pour les mesures de substitution à forme de suivi thérapeutique durant la procédure d'appel, le prévenu ne les ayant à nouveau pas respectées, ne s'étant pas présenté au rendez-vous avec le conseiller de probation. Il ne s'est pas non plus présenté à une séance du Centre Prévention de l'Ale le 27 septembre 2013 (P. 150). En revanche, il convient de déduire de la peine privative de liberté prononcée à l’encontre de l’appelant 1 jour supplémentaire pour le port du bracelet électronique durant la période comprise entre le 14 août et le 12 septembre 2023, soit environ un mois. Ainsi, le dispositif communiqué après l’audience d’appel est entaché d’une erreur manifeste en ce sens qu’il ne fait pas mention de cet élément, ce qu’il convient de rectifier d’office en application de l’art. 83 CPP. A cet égard, le jugement attaqué a été modifié, selon le dispositif communiqué après l’audience d’appel, par l’ajout du chiffre IIIbis suivant : « ordonne que soient déduits de la peine fixée sous chiffre II ci-dessus 7 (sept) jours supplémentaires, à titre de compensation des mesures de substitution à la détention » . Par commodité, on modifiera d’office ce chiffre pour tenir compte de la déduction d’un jour supplémentaire pour le port du bracelet électronique durant la procédure d’appel, ce qui revient à déduire de la peine prononcée à l’encontre de l’appelant</w:t>
      </w:r>
    </w:p>
    <w:p>
      <w:r>
        <w:rPr>
          <w:b/>
        </w:rPr>
        <w:t>E. 8</w:t>
      </w:r>
    </w:p>
    <w:p>
      <w:r>
        <w:t>jours au total à titre de compensation des mesures de substitution à la détention. Le moyen doit donc être admis dans cette mesure. 6. Pour le reste les peines prononcées ne sont pas contestées en tant que telles. Elles sont adéquates et doivent être confirmées par adoption de motifs (art. 82 al. 4 CPP et jugement, pp. 43 et 44). 7. En définitive, l’appel doit être très partiellement admis et le jugement attaqué modifié dans le sens des considérants qui précèdent. Selon la liste des opérations produite par Me Lise-Marie Gonzalez Pennec, conseil d’office de B.G.________, dont il n’y a pas lieu de s’écarter, une indemnité de 2'066 fr. 50 , TVA et débours inclus, lui sera allouée. Vu l’issue de la cause, les frais de la procédure d’appel, par 4'556 fr. 50, constitués de l’émolument de jugement, par 2’490 fr. (art. 21 al. 1 et 2 TFIP [Tarif des frais de procédure et indemnités en matière pénale du 28 septembre 2010 ; BLV 312.03.1]), ainsi que de l’indemnité allouée au conseil d’office de l’intimée, par 2'066 fr. 50, seront mis par quatre cinquièmes à la charge de l’appelant, qui succombe dans une large mesure (art. 428 al. 1 CPP), le solde étant laissé à la charge de l’Etat. L’appelant sera tenu de rembourser à l’Etat les quatre cinquièmes de l’indemnité en faveur du conseil d’office dès que sa situation financière le permettra (art. 135 al. 4 let. a CPP). La Cour d’appel pénale, appliquant les art. 34, 40, 46, 47, 49 al. 1, 50, 51, 69, 106, 123 ch. 1 et 2 al. 2 et 4, 126 al. 2 let. b, 180 al. 1 et 2 let. a CP ; 398 ss CPP, prononce : I. L’appel est très partiellement admis. II. Le jugement rendu le 13 juillet 2023 et rectifié les 17 juillet et 25 août 2023 par le Tribunal de police de l’arrondissement de l’Est vaudois, et réformé par arrêt du 9 août 2023 de la Chambre des recours pénale, est modifié par l’ajout à son dispositif d’un chiffre IIIbis nouveau, le dispositif du jugement étant désormais le suivant : " I. constate que M.G.________ s’est rendu coupable de lésions corporelles simples qualifiées, voies de fait qualifiées, injure et menaces qualifiées ; II. condamne M.G.________ à une peine privative de liberté de 7 (sept) mois, sous déduction de 91 (nonante-et-un) jours de détention provisoire, ainsi qu’à une peine pécuniaire de 15 (quinze) jours-amende, le montant du jour-amende étant fixé à 30 fr. (trente francs), ainsi qu’à une amende de 600 fr. (six cents francs), la peine privative de liberté de substitution étant de 6 (six) jours ; III. constate que M.G.________ a été détenu durant 4 jours dans des conditions de détention illicites et ordonne que 2 (deux) jours soient déduits de la peine fixée au chiffre II ci-dessus, à titre de réparation du tort moral ; IIIbis. ordonne que soient déduits de la peine fixée sous chiffre II ci-dessus 8 (huit) jours supplémentaires, à titre de compensation des mesures de substitution à la détention ; IV. libère M.G.________ des chefs d’inculpation de calomnie, de diffamation et d’injure ; V. […] ; VI. révoque le sursis accordé le 29 juin 2021 par le Ministère public de l’arrondissement de l’Est vaudois ; VII. ordonne la confiscation et la destruction de l’objet versé sous fiche de séquestre no 11893 ; VIII. ordonne le maintien au dossier des pièces à conviction nos 11849, 11929 et 11955 ; IX. dit que M.G.________ est le débiteur de B.G.________ de la somme de 500 fr. (cinq cents francs) avec intérêt à 5% l’an depuis le 15 novembre 2022 à titre d’indemnité pour tort moral ; X. arrête l’indemnité de Me Lise-Marie Gonzalez Pennec, conseil juridique gratuit de B.G.________ à 4'782 fr. 15, TVA, vacations et débours inclus ; XI. alloue une indemnité de 2'230 fr. (deux mille deux cent trente francs), TVA et débours compris à Me Laurent Mösching au titre de l’art. 135 al. 4 let. b CPP et dit que M.G.________ est le débiteur, envers Me Laurent Mösching, du montant alloué et lui en doit immédiat paiement dès que sa situation financière le lui permettra ; XII. rejette la demande d’indemnité fondée sur l’art. 429 CPP présentée par M.G.________ ; XIII. rejette la demande d’indemnité fondée sur l’art. 431 CPP présentée par M.G.________ ; XIV. met les frais de la cause, par 16'132 fr. 15, à la charge de M.G.________, montant incluant l’indemnité arrêtée au chiffre X ci-dessus et dit que le remboursement à l’Etat de l’indemnité du conseil juridique gratuit de B.G.________ ne sera exigé que si la situation financière du condamné le permet." III. La détention subie depuis le jugement de première instance, soit du 13 juillet au 14 août 2023, est déduite. IV. Les mesures de substitution ordonnées le</w:t>
      </w:r>
    </w:p>
    <w:p>
      <w:r>
        <w:rPr>
          <w:b/>
        </w:rPr>
        <w:t>E. 9</w:t>
      </w:r>
    </w:p>
    <w:p>
      <w:r>
        <w:t>août 2023 par la Chambre des recours pénale sont caduques. V. Une indemnité de conseil d'office pour la procédure d'appel d'un montant de 2'066 fr. 50 , TVA et débours inclus, est allouée à Me Lise-Marie Gonzalez Pennec. VI. Les frais d'appel, par 4'556 fr. 50, y compris l'indemnité allouée au conseil d'office, sont mis par quatre cinquièmes à la charge de M.G.________, le solde étant laissé à la charge de l’Etat. VII. M.G.________ ne sera tenu de rembourser à l’Etat les quatre cinquièmes de l’indemnité en faveur du conseil d’office prévue au chiffre V ci-dessus que lorsque sa situation financière le permettra . Le président :              La greffière : Du Le jugement qui précède, dont le dispositif a été communiqué par écrit aux intéressés le 18 janvier 2024 , est notifié, par l'envoi d'une copie complète, à : - Me Pierre-Yves Brandt, avocat (pour M.G.________), - Me Lise-Marie Gonzalez Pennec, avocate (pour B.G.________), - Ministère public central, et communiqué à : - Mme la Vice-présidente du Tribunal de police de l'arrondissement de l’Est vaudois, - Mme la Procureure de l'arrondissement de l’Est vaudois, - Office d'exécution des peines, - Service de la population, - Service pénitentiaire (Bureau des séquestres), - Mme [...], agent de probation,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