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440 vom 26. September 2024</w:t>
      </w:r>
    </w:p>
    <w:p>
      <w:r>
        <w:t>VD Tribunal cantonal, 2024-09-26, FR</w:t>
      </w:r>
    </w:p>
    <w:p>
      <w:r>
        <w:rPr>
          <w:b/>
        </w:rPr>
        <w:t xml:space="preserve">Quelle: </w:t>
      </w:r>
      <w:r>
        <w:t>https://mcp.opencaselaw.ch/entscheid/vd_findinfo_Jug___2024___440</w:t>
      </w:r>
    </w:p>
    <w:p>
      <w:r>
        <w:t>FR: VD_FINDINFO Jug / 2024 / 440 du 26 septembre 2024</w:t>
      </w:r>
    </w:p>
    <w:p>
      <w:r>
        <w:t>IT: VD_FINDINFO Jug / 2024 / 440 del 26 settembre 2024</w:t>
      </w:r>
    </w:p>
    <w:p>
      <w:pPr>
        <w:pStyle w:val="Heading2"/>
      </w:pPr>
      <w:r>
        <w:t>Regeste</w:t>
      </w:r>
    </w:p>
    <w:p>
      <w:r>
        <w:t>CONTRAINTE SEXUELLE, VIOL, TENTATIVE{DROIT PÉNAL} | 189 al. 1 CP, 22 ad 189 al. 1 CP, 22 ad 190 CP</w:t>
      </w:r>
    </w:p>
    <w:p>
      <w:pPr>
        <w:pStyle w:val="Heading2"/>
      </w:pPr>
      <w:r>
        <w:t>Erwägungen</w:t>
      </w:r>
    </w:p>
    <w:p>
      <w:r>
        <w:rPr>
          <w:b/>
        </w:rPr>
        <w:t>E. 1</w:t>
      </w:r>
    </w:p>
    <w:p>
      <w:r>
        <w:t>Interjetés dans les formes et délais légaux (art. 385 et 399 CPP [Code de procédure pénale suisse du</w:t>
      </w:r>
    </w:p>
    <w:p>
      <w:r>
        <w:rPr>
          <w:b/>
        </w:rPr>
        <w:t>E. 5</w:t>
      </w:r>
    </w:p>
    <w:p>
      <w:r>
        <w:t>octobre 2007 ; RS 312.0]), par des parties ayant qualité pour recourir (art. 381 al. 1 et 382 al. 1 CPP)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3.1.1 La plaignante estime que le prévenu doit être condamné pour désagréments causés par la confrontation à un acte d’ordre sexuel, tentative de contrainte sexuelle et tentative de viol. Elle reproche au Tribunal correctionnel d’avoir considéré chaque acte isolément en faisant abstraction du contexte, les faits mis bout à bout ne laissant selon elle pas de place au doute sur les intentions du prévenu. Les premiers juges auraient ainsi ignoré ou mal interprété les éléments à charge. Elle explique encore que le Tribunal a omis de tenir compte des messages que les parties se sont échangées le lendemain des faits et dont il ressort que le prévenu savait qu’il agissait mal, notamment lorsqu’il lui avait écrit « (…) Donc c’est la dernière fois que je me comporte comm [sic] ca [sic] ». Ce dernier élément permettrait, selon elle, de retenir la volonté du prévenu d’avoir un rapport sexuel ensuite des différents attouchements qui ont eu lieu dans la voiture. Elle rappelle qu’elle n’avait que 20 ans au moment des faits, qu’elle était vulnérable puisqu’elle avait subi du harcèlement scolaire – ce qui l’avait fragilisée – qu’elle venait d’une famille catholique traditionnelle et, surtout, qu’elle s’était sentie piégée dans une situation sans issue et en position de faiblesse face au prévenu qui n’avait eu de cesse de tenter de briser sa résistance en dépit de ses refus répétés. Elle estime que ses craintes n’avaient pas à reposer sur d’autres éléments que le contexte de promiscuité et d’isolement créé par le prévenu et son insistance ; le fait qu’il n’y ait pas eu d’actes de violence physiques concrets ne suffisait pas pour écarter tout moyen de contrainte. Enfin, si le rapport sexuel n’avait pas été consommé c’était uniquement grâce à l’arrivée d’un autre véhicule et non parce que le prévenu s’était arrêté de son propre chef. 3.1.2 Le Ministère public pour sa part estime que le fait de saisir la tête de la victime pour la diriger vers son sexe dans le but d’obtenir une fellation est bien constitutif de tentative de contrainte sexuelle. Il rappelle que les parties se trouvaient dans la voiture du prévenu, sur un parking, de nuit, qu’elles avaient bu de l’alcool, que le prévenu ne s’était pas contenté de demander verbalement une fellation à la plaignante qui lui avait déjà fermement déclaré qu’elle ne souhaitait pas de relation sexuelle, mais avait appuyé sur sa tête avec les deux mains en lui disant « vas-y », alors qu’elle ne faisait que se débattre. Cela démontrait que le prévenu faisait fi de ses refus et était prêt à la contraindre physiquement pour atteindre son but. Selon le procureur, il n’y avait que tentative parce que la plaignante avait réussi à se défaire de son emprise. De même, pour le Parquet, est constitutif de tentative de viol le comportement subséquent du prévenu, consistant à acculer la plaignante contre la portière, en se frottant sur elle et en répétant qu’il voulait faire l’amour et qu’il avait des préservatifs, alors que la victime ne cessait de lui répéter qu’elle ne voulait rien de tel, jusqu’à ce que l’arrivée d’une voiture mette fin à la scène. Il n’avait pas arrêté malgré les demandes répétées de la plaignante qui s’était sentie oppressée et prise au piège. C’était à tort que les premiers juges avaient douté du fait que le prévenu n’avait renoncé qu’en raison de l’arrivée d’une voiture. Selon le Ministère public, M.________ avait persisté à essayer d’obtenir une relation sexuelle de la victime coincée dans la voiture et sous son poids, alors qu’elle avait dit non à tout dès qu’il avait touché son corps, s’était débattue pour échapper à la fellation et avait dû l’empêcher de baisser la fermeture éclair de son pantalon et de lever son pull. Pour les premiers attouchements, le Ministère public admet la qualification de désagréments causés par la confrontation à un acte d’ordre sexuel.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3.2.2 3.2.2.1 Selon l’art. 190 CP,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(al. 2). 3.2.2.2 Aux termes de l’art. 189 al. 1 CP, quiconque, contre la volonté d’une personne, commet sur elle ou lui fait commettre un acte d’ordre sexuel ou profite à cette fin d’un état de sidération d’une personne, est puni d’une peine privative de liberté de trois ans au plus ou d’une peine pécuniaire (al. 1). Quiconque, notamment en usant de menace ou de violence envers une personne, en exerçant sur elle des pressions d’ordre psychique ou en la mettant hors d’état de résister, la contraint à commettre ou à subir un acte d’ordre sexuel, est puni d’une peine privative de liberté de dix ans au plus ou d’une peine pécuniaire (al. 2).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 3.2.2.3 Aux termes de l’art. 198 CP, quiconque cause du scandale en se livrant à un acte d’ordre sexuel en présence d’une personne qui y est inopinément confrontée, quiconque importune une personne par des attouchements d’ordre sexuel ou, de manière grossière, par la parole, l’écriture ou l’image, est, sur plainte, puni d’une amende. L’attouchement sexuel une notion subsidiaire par rapport à l‘acte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6B_35/2017 du 26 février 2018 consid. 4.2 ; TF 6B_303/2008 du 22 janvier 2009 consid. 3 ; cf. également TF 6P.123/2003 du 21 novembre 2003 consid. 6.1 ; Dupuis et al., Petit commentaire, Code pénal, 2 ème éd., Bâle 2017, n. 10 ad art. 198 et les références citées). Si l'auteur ne se limite pas à un attouchement, par nature fugace, mais accomplit un acte d'ordre sexuel, l'art. 189 CP, respectivement l’art. 187 CP, est seul applicable (TF 6B_35/2017 précité ; TF 6B_303/2008 précité et les références citées ; Dupuis et al., op. cit., n. 27 ad art. 187 CP). Pour décider si c'est bien l'art. 189 CP, respectivement l’art. 187 CP, qui doit être appliqué ou si seul entre en considération l'art. 198 al. 2 CP, est dès lors déterminante l'intensité de l'attouchement, savoir s'il s'agissait d'un geste furtif ou d'une caresse insistante (TF 6B_35/2017 précité ; TF 6B_303/2008 précité). 3.2.2.4 A teneur de l'art. 22 al. 1 CP, le juge peut atténuer la peine si l'exécution d'un crime ou d'un délit n'est pas poursuivie jusqu'à son terme ou que le résultat nécessaire à la consommation de l'infraction ne se produit pas ou ne pouvait pas se produire. 3.3 En l’occurrence, avec les appelants, on doit en premier lieu admettre que seule l’arrivée d’une autre voiture a mis fin à la scène. Les deux parties le déclarent d’ailleurs dans leurs différentes auditions. En effet, M.________ a déclaré : « A un moment donné, des voitures sont venues et elle (ndlr : Q.________) m’a aussi dit qu’elle voulait partir. Nous sommes donc partis (…) » (PV aud. 2 p. 5), ou encore : « (…) Il y avait 2-3 voitures autour alors nous avons décidé de rentrer (…) » (PV aud. 4 p. 5 l. 154). Quant à la plaignante, elle a déclaré « (…) je ne sais pas si c’est ma fermeté ou la présence d’une voiture qui passait par là mais il s’est arrêté aussitôt et m’a demandé de ne pas faire de bruit (…) » (PV aud. 1 p. 2), ou encore « (…) Finalement tout s’est arrêté lorsqu’une voiture est arrivée sur le parking. Il est sorti et s’est rhabillé (…) » (PV aud. 3 p. 4 l. 105 ss). A la lumière de cette appréciation des faits, il convient d’examiner les qualifications juridiques des agissements de l’intimé. En premier lieu, on ne saurait considérer que les attouchements répétés sur le corps de la victime entrent dans la définition de l’art. 198 CP. En effet, au vu du contexte de promiscuité (les parties étaient à l’intérieur d’une voiture) et d’isolement (il faisait nuit et le parking, situé aux abords d’une zone industrielle, était désert) créé par le prévenu, et de son insistance malgré les refus clairement exprimés de Q.________, il faut admettre que les gestes vont au-delà de la simple contravention relevant de l’art. 198 CP. Ainsi, il y a bien eu contrainte sexuelle puisque le prévenu s’est adonné à ces attouchements sans que la plaignante, qui lui a fait part à moult reprises de son refus, réussisse à s’y opposer. M.________ a profité de la situation pour pouvoir satisfaire ses envies sans tenir compte de la volonté de la plaignante. La crainte, face à un homme physiquement plus fort et qui n’écoute pas, est légitime, sans qu’il soit besoin qu’elle ait été mise totalement hors d’état de résister. Q.________ a en effet repoussé le prévenu avec ses mains à plusieurs reprises mais il revenait sans cesse à la charge. Au vu de l’intensité des attouchements subis par Q.________, l’infraction de contrainte sexuelle sera retenue pour ces faits. Ensuite, prendre la tête de la victime dans ses mains pour la diriger vers son sexe constitue une tentative de contrainte physique. Comme l’allègue justement le procureur, le prévenu aurait pu se contenter de faire une demande verbale, ce qu’il n’a pas fait. Il a eu ce geste alors qu’il lui avait déjà fait part verbalement de ses intentions sexuelles – sans succès – et lui avait touché le corps sans son accord, étant précisé que Q.________ avait déjà dû repousser ses mains et qu’elle a dû se débattre pour libérer sa tête. Partant, l’infraction de tentative de contrainte sexuelle doit être retenue pour ces faits. Enfin, frustré de ne pas avoir obtenu ce qu’il réclamait jusque-là, le prévenu a encore, avec son corps, acculé la victime contre la portière en répétant ses souhaits sans tenir compte des refus et tentative de résistance de la victime. Celle-ci était tétanisée à ce stade et ne savait que faire. Il ne fait pas de doute que sans l’arrivée d’une autre voiture, le prévenu ne se serait pas arrêté là et aurait entretenu des relations sexuelles contraintes avec la plaignante ce qui constitue l’infraction de tentative de viol. Du point de vue subjectif, on observera que les procès-verbaux d’audition du prévenu – qui renverse les rôles –, ses antécédents pour viol, le contenu de l’évaluation criminologique du 11 février 2021 (P. 55/4) et, dans une certaine mesure, les messages qu’il a adressé à la plaignante le lendemain des faits, démontrent qu’il était parfaitement conscient du caractère punissable de son comportement. Quant à l’argument de la défense qui soutient que les déclarations de la plaignante auraient varié au cours de la procédure, la Cour relève que si le procès-verbal d’audition-plainte est sommaire et factuel, il ne contient rien qui entre en contradiction avec les actes d’ordres sexuels qui sont décrits par la plaignante. Enfin, les circonstances (les faits s’étant déroulés de nuit, sur un parking aux abords d’une zone industrielle presque déserte), permettent de comprendre que la plaignante ait, malgré les actes subis, demandé à M.________ de la ramener. Prendre place sur le siège passager avant droit limitait les possibilités de contacts avec l’intimé. Il n’y a pas là de quoi faire naître un doute sur les faits. 4. 4.1 Le Ministère public estime qu’au vu des faits commis par le prévenu deux ans après une première condamnation pour viol, il convient de révoquer le sursis accordé à cette occasion et de prononcer une peine d’ensemble ferme de 29 mois comprenant les 18 mois infligés en 2019. S’agissant de la contravention à l’art. 198 CP, il prône le maintien de l’amende de 3'000 francs. 4.2 4.2.1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4.2.2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 4.3 En l’espèce, vu la récidive spéciale dans le délai d’épreuve, le sursis de cinq ans accordé le 2 septembre 2019 par le Tribunal correctionnel de l’arrondissement de La Côte portant sur une peine de dix-huit mois, doit être révoqué, seul un pronostic entièrement défavorable pouvant être posé compte tenu du fait que le prévenu n’a absolument pas évolué depuis le jugement précité. En effet, la plaignante décrit bien le fonctionnement de l’intéressé : « je le lui ai dit verbalement et il a acquiescé mais pour moi, il n’a pas vraiment écouté ce que je disais » (PV aud. 3 p. 2). Les propos mensongers du prévenu démontrent en outre qu’il n’a aucune prise de conscience. Il n’accorde d’importance qu’à ses envies et ne se préoccupe nullement de la volonté des femmes qu’il convoite. Si le rapport de police mentionne dans ses conclusions que la perception du « consentement » par M.________ semble perfectible, rien ne permet à ce jour de constater une évolution ni de penser que l’exécution de cette peine suffirait pour renverser ce constat, de sorte que la nouvelle peine doit aussi être ferme. Il convient ainsi de fixer une peine d’ensemble, les faits de la présente cause étant d’une gravité telle qu’une peine privative de liberté s’impose. La culpabilité de M.________ est lourde. Sa prise de conscience est nulle puisque deux ans après avoir été condamné pour viol il n’a pas hésité à dépasser une nouvelle fois les limites en matière sexuelle. De la sorte il s’en est pris à l’un des biens juridiques les plus précieux en faisant fi des conséquences de ses actes sur sa victime, qui est apparue encore profondément marquée à l’audience d’appel. On ne voit guère d’éléments à décharge, le prévenu n’ayant par ailleurs pas jugé utile de se présenter pour la lecture du jugement en première instance, ou aux débats d’appel. M.________ doit être condamné pour tentative de contrainte sexuelle, contrainte sexuelle et tentative de viol. Abstraitement, l’infraction la plus grave est la contrainte sexuelle vu le cadre légal de la peine, mais concrètement ici, c’est la tentative de viol, suivie de la tentative de contrainte sexuelle, puis de la contrainte sexuelle. La tentative de viol sera sanctionnée d’un an de peine privative de liberté. Par l’effet du concours, cette peine sera augmentée de six mois pour la tentative de contrainte sexuelle et de six mois pour la contrainte sexuelle. Pour tenir compte de l'effet déjà produit de l'application du principe de l'aggravation, c’est en définitive une peine privative de liberté d’ensemble de 36 mois qui sera prononcée à l’encontre de M.________.</w:t>
      </w:r>
    </w:p>
    <w:p>
      <w:r>
        <w:rPr>
          <w:b/>
        </w:rPr>
        <w:t>E. 5.1</w:t>
      </w:r>
    </w:p>
    <w:p>
      <w:r>
        <w:t>Q.________ estime que l’indemnité de 2'000 fr. qui lui a été octroyée par les premiers juges n’est pas adéquate et elle conclut à l’allocation d’une indemnité pour tort moral de 5'000 fr., cette somme étant justifiée au regard du traumatisme qu’elle a subi. Elle explique que le fait d’avoir des crises de stress liées aux actes infligés par M.________ renforce les symptômes de sa maladie neurologique.</w:t>
      </w:r>
    </w:p>
    <w:p>
      <w:r>
        <w:rPr>
          <w:b/>
        </w:rPr>
        <w:t>E. 5.2</w:t>
      </w:r>
    </w:p>
    <w:p>
      <w:r>
        <w:t>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w:t>
      </w:r>
    </w:p>
    <w:p>
      <w:r>
        <w:rPr>
          <w:b/>
        </w:rPr>
        <w:t>E. 5.3</w:t>
      </w:r>
    </w:p>
    <w:p>
      <w:r>
        <w:t>En l’espèce, au vu des faits subis par Q.________ et du traumatisme qui s’en est suivi (P. 40), c’est à juste titre que cette victime estime insuffisant le montant de 2'000 fr. qui lui a été accordé par le Tribunal correctionnel à titre de réparation morale. Au regard des infractions endurées par l'appelante et du traumatisme encore bien présent – elle a déclaré en appel être encore suivie par un psychiatre et prendre des médicaments pour dormir – il ne fait aucun doute que les événements du 22 octobre 2021 ont provoqué chez elle une atteinte psychique entraînant réparation. Le montant requis de 5'000 fr., avec intérêt à 5% l’an dès le 22 octobre 2021 à tire d’indemnité pour tort moral, aucunement exagéré, peut lui être entièrement alloué.</w:t>
      </w:r>
    </w:p>
    <w:p>
      <w:r>
        <w:rPr>
          <w:b/>
        </w:rPr>
        <w:t>E. 6</w:t>
      </w:r>
    </w:p>
    <w:p>
      <w:r>
        <w:t>En définitive, les appels de la plaignante Q.________ et du Ministère public doivent être admis et le jugement entrepris réformé dans le sens des considérants qui précèdent. Me Olivier Bastian, défenseur d’office de M.________, a produit une liste des opérations indiquant une durée totale de 11h48 de travail d’avocat et 2h30 pour l’audience d’appel. Cette durée est trop élevée. Il convient ainsi de retrancher 2h48 du poste « Eude du dossier, préparation de l’audience », qui en comptait 6h48, 4h00 étant suffisantes dès lors que c'est le même mandataire qui a effectué le travail en première et en deuxième instances et qu'il connaissait ainsi bien le dossier. Quant à l’audience d’appel, elle a duré 1h30, de sorte qu’il faut retrancher 1h00 de ce poste. En définitive, il sera retenu 10h30 d'activité d'avocat breveté. C'est ainsi une indemnité de 2'213 fr. 65, correspondant à 10h30 d'activité au tarif horaire de 180 fr., à 2% de débours forfaitaires (et non 5% comme requis par l’avocat), à 120 fr. de vacation et à 8.1% de TVA, qui doit être allouée à Me Olivier Bastian pour la procédure d'appel. Me Coralie Devaud, conseil d’office de Q.________, a produit une liste des opérations indiquant une durée totale de 3.5 heures de travail d’avocat et de 16 heures de travail d’avocat-stagiaire. Cette durée est un peu trop élevée. Il convient ainsi de retrancher 1.5 heure de travail d’avocat stagiaire pour la durée de l’audience d’appel estimée à 3 heures, et 0.5 heure de travail d’avocat pour les opérations post-jugement, estimées à 1 heure. C'est ainsi une indemnité de 2'470 fr. 90, correspondant à 3 heures d'activité au tarif horaire de 180 fr., à 14.75 heures au tarif horaire de 110 fr., à 2% de débours forfaitaires, à 80 fr. de vacation et à 8.1% de TVA, qui doit être allouée à Me Coralie Devaud pour la procédure d'appel. Vu l’issue de la cause, les frais de la procédure d’appel, par 7'584 fr. 55, constitués de l’émolument de jugement, par 2’900 fr. (art. 21 al. 1 et 2 TFIP [Tarif des frais de procédure et indemnités en matière pénale du 28 septembre 2010 ; BLV 312.03.1]), ainsi que de l’indemnité allouée au défenseur d’office de M.________, par 2'213 fr. 65, et de l’indemnité allouée au conseil d’office de Q.________, par 2'470 fr. 90, seront mis à la charge de M.________. M.________ sera tenu de rembourser à l’Etat les indemnités mises à sa charge en faveur de son défenseur d’office et du conseil d’office de Q.________ dès que sa situation financière le permettra. Par ces motifs, appliquant les articles 40 al. 2, 46 al. 1, 47 al. 1 et 2, 49 al. 1, 50, 189 al. 1, 22 al. 1 ad 189 al. 1, 22 al. 1 ad 190 al. 1 CP ;  398 ss CPP, prononce : I. L’appel de Q.________ est admis. II. L'appel du Ministère public est admis. III. Le jugement rendu le 1 er mars 2024 par le Tribunal correctionnel de l'arrondissement de La Côte est modifié comme il suit aux chiffres I à IV de son dispositif, le dispositif du jugement étant désormais le suivant : " I. CONSTATE que [...] s'est rendu coupable de contrainte sexuelle, tentative de contrainte sexuelle et tentative de viol ; II. REVOQUE le sursis accordé le 2 septembre 2019 à [...] par le Tribunal correctionnel de l'arrondissement de Lausanne ; III. CONDAMNE [...] à une peine privative de liberté d'ensemble de 36 (trente-six) mois ; IV. DIT que [...] doit payer à [...] la somme de 5'000 fr. avec intérêt à 5% l'an dès le 22 octobre 2021 à titre d'indemnité pour tort moral ; V. ORDONNE le maintien au dossier comme pièce à conviction du DVD contenant une vidéo effectuée par [...] inventoriée sous fiche n° 42547. VI. FIXE à 8’287 fr. 80 (huit mille deux cent huitante-sept francs et huitante centimes) vacations, débours forfaitaires et TVA inclus l’indemnité allouée à Me Olivier BASTIAN, défenseur d’office de [...]. VII. FIXE à 7'103 fr. 55 (sept mille cent trois francs et cinquante-cinq centimes) vacations, débours forfaitaires et TVA inclus l’indemnité allouée à Me Coralie DEVAUD, conseil juridique gratuit d’[...]. VIII. MET les frais de procédure, arrêtés à 20'491 fr. 35 (vingt mille quatre cent nonante et un francs et trente-cinq centimes) - comprenant notamment les indemnités allouées conformément aux ch. VI et VII ci-dessus -, à la charge de [...]. IX. DIT que [...] ne sera tenu de rembourser à l’Etat le montant des indemnités allouées à son défenseur d’office ainsi qu’au conseil juridique gratuit et mises à sa charge conformément aux ch. VI, VII et VIII ci-dessus que lorsque sa situation financière le permettra. ". IV. Une indemnité de défenseur d'office pour la procédure d'appel d'un montant de 2'213 fr. 65 fr. , TVA et débours inclus, est allouée à Me Olivier Bastian. V. Une indemnité de conseil d'office d'un montant de 2'470 fr. 90, TVA et débours inclus est allouée à Me Coralie Devaud. VI. Les frais d'appel, par 7'584 fr. 55, qui comprennent les indemnités allouées aux chiffres IV et V ci-dessus, sont mis à la charge de [...]. VII. Les indemnités de défenseur et de conseil d'office allouées aux chiffres IV et V ci-dessus sont remboursables à l'Etat de Vaud par [...] dès que sa situation financière le permettra. La présidente :              La greffière : Du Le jugement qui précède, dont le dispositif a été communiqué par écrit aux intéressés le 27 septembre 2024 , est notifié, par l'envoi d'une copie complète, à : - Me Olivier Bastian, avocat (pour […]), - Me Coralie Devaud, avocate (pour […]), - Ministère public central, et communiqué à : - Mme la Présidente du Tribunal correctionnel de l'arrondissement de La Côte, - M. le Procureur de l'arrondissement de La Côte, - Office d'exécution des peines,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