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402 vom 24. Januar 2024</w:t>
      </w:r>
    </w:p>
    <w:p>
      <w:r>
        <w:t>VD Tribunal cantonal, 2024-01-24, FR</w:t>
      </w:r>
    </w:p>
    <w:p>
      <w:r>
        <w:rPr>
          <w:b/>
        </w:rPr>
        <w:t xml:space="preserve">Quelle: </w:t>
      </w:r>
      <w:r>
        <w:t>https://mcp.opencaselaw.ch/entscheid/vd_findinfo_Jug___2024___402</w:t>
      </w:r>
    </w:p>
    <w:p>
      <w:r>
        <w:t>FR: VD_FINDINFO Jug / 2024 / 402 du 24 janvier 2024</w:t>
      </w:r>
    </w:p>
    <w:p>
      <w:r>
        <w:t>IT: VD_FINDINFO Jug / 2024 / 402 del 24 gennaio 2024</w:t>
      </w:r>
    </w:p>
    <w:p>
      <w:pPr>
        <w:pStyle w:val="Heading2"/>
      </w:pPr>
      <w:r>
        <w:t>Regeste</w:t>
      </w:r>
    </w:p>
    <w:p>
      <w:r>
        <w:t>REJET DE LA DEMANDE, DIFFAMATION, LÉSION CORPORELLE SIMPLE, PRÉSOMPTION D'INNOCENCE, INTERDICTION DE L'ARBITRAIRE, INJURE, DOMMAGES À LA PROPRIÉTÉ{DROIT PÉNAL} | 123 ch. 1 CP, 144 al. 1 CP, 173 ch. 1 CP, 177 CP</w:t>
      </w:r>
    </w:p>
    <w:p>
      <w:pPr>
        <w:pStyle w:val="Heading2"/>
      </w:pPr>
      <w:r>
        <w:t>Erwägungen</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ou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 Consacré dans son principe à l’art. 398 al. 2 CPP, le caractère complet de l’appel aboutit, dans la règle, à un nouveau jugement remplaçant l’ancien (art. 408 CPP ; TF 6B_482/2022 du 4 mai 2023 consid. 4.2 et les réf. citées).</w:t>
      </w:r>
    </w:p>
    <w:p>
      <w:r>
        <w:rPr>
          <w:b/>
        </w:rPr>
        <w:t>E. 2.1</w:t>
      </w:r>
    </w:p>
    <w:p>
      <w:r>
        <w:t>Le 13 juin 2019, contrariée par le fait que B.C.________ aurait sorti ses affaires de la machine à laver, F.________ s’est rendue à la cave de la plaignante, a passé son bras par-dessus les claires-voies et a déversé du liquide adoucissant pour lessive, ainsi que de la poudre chocolatée sur les affaires qui s’y trouvaient, dont du matériel pour enfants et de sport.</w:t>
      </w:r>
    </w:p>
    <w:p>
      <w:r>
        <w:rPr>
          <w:b/>
        </w:rPr>
        <w:t>E. 2.2</w:t>
      </w:r>
    </w:p>
    <w:p>
      <w:r>
        <w:t>Le 14 juin 2019 vers 11h30, F.________ a lancé depuis son balcon un œuf qui a heurté la voiture de B.C.________. Sous l’impact, le véhicule a subi des dégâts au niveau de la carrosserie et a été souillé.</w:t>
      </w:r>
    </w:p>
    <w:p>
      <w:r>
        <w:rPr>
          <w:b/>
        </w:rPr>
        <w:t>E. 2.3</w:t>
      </w:r>
    </w:p>
    <w:p>
      <w:r>
        <w:t>A [...], le 29 mai 2020, F.________ a adressé un message électronique à E.C.________ dont la teneur était la suivante : « Bonjour Monsieur, il y a quelques temps je vous avais alerté sur les agissements de votre ex épouse envers vos jeunes enfants qui ont conduit madame à déposer une plainte a mon égard, contre laquelle je vais me défendre bien entendu. Je souhaite vous informer étant donner que la police ne veulent rien faire que les mêmes faits sur vos enfants n’ont d une part jamais cesser et recommencent de plus belle, pas plus tard qu’il y a 10 minutes. Maintenant j ai des témoins, des personnes en visite chez moi qui ont vu et/ou entendu.j avais décidé de ne plus rien dire jusqu’à présent mais cela va trop loin.Permettez vous que je vous appelle pour en parler de vive voix? merci. [sic] ». Cela étant, B.C.________ s’est défendue d’avoir maltraité ses enfants et [...], qui selon F.________ aurait été témoin de certains faits, a assuré n’avoir jamais vu B.C.________ s’en prendre physiquement ou verbalement à eux. Par ailleurs, la prévenue n’avait aucun motif légitime d’agir de la sorte et a discrédité la plaignante dans le but manifeste de lui nuire.</w:t>
      </w:r>
    </w:p>
    <w:p>
      <w:r>
        <w:rPr>
          <w:b/>
        </w:rPr>
        <w:t>E. 2.4.1</w:t>
      </w:r>
    </w:p>
    <w:p>
      <w:r>
        <w:t>A Echallens, le 8 juin 2020 vers 15h20, B.C.________ a ouvert la porte de l’immeuble où elle vit pour laisser entrer les deux filles de F.________. Vers 15h30, lorsque cette dernière est arrivée à son tour, B.C.________ lui a fait savoir qu’elle n’avait pas le droit de lui faire des reproches quant à sa manière d’éduquer ses enfants si elle n’était elle-même pas irréprochable. A cela, F.________ a répondu qu’avant de critiquer les autres elle ferait mieux de s’occuper de ses enfants. La situation a ensuite dégénéré et, dans un ordre que l’instruction n’a pas établi, F.________ a traité de « pute » B.C.________. F.________ a ensuite saisi son antagoniste par les cheveux et l’a poussée contre le mur, avant de lui donner plusieurs coups au visage. B.C.________ s’est alors tapée la tête, le coude gauche et est tombée au sol. Au cours de cette altercation, F.________ a endommagé les lunettes et l’ordinateur portable de B.C.________.</w:t>
      </w:r>
    </w:p>
    <w:p>
      <w:r>
        <w:rPr>
          <w:b/>
        </w:rPr>
        <w:t>E. 2.4.2</w:t>
      </w:r>
    </w:p>
    <w:p>
      <w:r>
        <w:t>Selon le certificat médical établi le même jour, B.C.________ a souffert d’un traumatisme crânien simple accompagné d’une contracture musculaire cervicale bilatérale, respectivement de contusions au niveau du membre supérieur gauche. Les médecins qui ont reçu l’intéressée le 12 juin 2020 à l’Unité de médecine des violences du CHUV ont notamment relevé une très discrète ecchymose à la joue droite et en regard de l’angle mandibulaire, une dermabrasion superficielle au niveau de la clavicule droite, un érythème à la face antérieure de l’hémothorax droit, deux ecchymoses rougeâtres en-dessous de la lésion précitée, une très discrète ecchymose à l’avant-bras droit, une discrète ecchymose et une croûte jaunâtre à l’avant-bras gauche, une discrète ecchymose à la jambe droite et une ecchymose à la jambe gauche. Le Dr [...], de la Clinque de la Source, a enfin établi que B.C.________ a souffert d’une fracture osseuse non déplacée du coude gauche. De son côté, F.________ a produit six impressions de photographies, censées attester « des hématomes [qu’elle a présentés] sur les bras » ensuite de cet épisode. En droit : 1. 1.1 Interjeté dans les formes et délais légaux (art. 399 CPP), par une partie ayant qualité pour recourir (art. 382 al. 1 CPP), contre le jugement d’un tribunal de première instance ayant clos la procédure (art. 398 al. 1 CPP), l’appel est recevable. 1.2 Dès lors que la présence de l’appelante aux débats d’appel n’est pas indispensable et que l’appel est dirigé contre un jugement rendu par un juge unique, l’appel est traité en procédure écrite conformément à l’art. 406 al. 2 CPP, avec l’accord des parties.</w:t>
      </w:r>
    </w:p>
    <w:p>
      <w:r>
        <w:rPr>
          <w:b/>
        </w:rPr>
        <w:t>E. 3.1</w:t>
      </w:r>
    </w:p>
    <w:p>
      <w:r>
        <w:t>L’appelante a requis « l’audition de tout témoin pouvant d’une façon ou d’une autre établir les faits survenus le 8 juin 2020 », ainsi que l’interpellation de B.C.________ concernant la date exacte de son déménagement, afin qu’elle fournisse à ce titre un document officiel.</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6B_1080/2021 du 8 décembre 2021 consid. 2.1 et les réf.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 citées, JdT 2015 I 115 ; TF 6B_1331/2020 du 18 janvier 2021 consid. 1.1 ; TF 6B_818/2020 du 18 janvier 2021 consid. 2.1).</w:t>
      </w:r>
    </w:p>
    <w:p>
      <w:r>
        <w:rPr>
          <w:b/>
        </w:rPr>
        <w:t>E. 3.3</w:t>
      </w:r>
    </w:p>
    <w:p>
      <w:r>
        <w:t>S’agissant tout d’abord de la réquisition de preuve en lien avec l’audition de témoins, celle-ci est irrecevable, faute de comporter une mesure d’instruction suffisamment décrite pour être ordonnée. Quant à l’interpellation de B.C.________ concernant la date de son déménagement, comme on le verra ci-après (cf. consid. 5.3 et 9.3 infra ), cette réquisition doit être rejetée dès lors que cet élément n’est pas pertinent et qu’il n’est ainsi pas nécessaire au traitement de l’appel.</w:t>
      </w:r>
    </w:p>
    <w:p>
      <w:r>
        <w:rPr>
          <w:b/>
        </w:rPr>
        <w:t>E. 4.1</w:t>
      </w:r>
    </w:p>
    <w:p>
      <w:r>
        <w:t>L’appelante conteste sa condamnation pour diffamation (cf. cas 2.3 supra ). Elle se prévaut de la sincérité de sa démarche et du fait qu’une dénonciation auprès du SPJ (Service de la protection de la jeunesse ; actuellement la DGEJ [Direction générale de l’enfance et de la jeunesse]) aurait entraîné des conséquences plus néfastes pour B.C.________, tout en précisant qu’elle ignorait au moment des faits que cette dernière faisait l’objet de violences conjugales de la part d’E.C.________. De plus, elle soutient que le fait que B.C.________ n’ait pas été condamnée pour diffamation (cf. cas 2.9 supra ), alors qu’elle avait également averti la DGEJ d’un contenu semblable, serait une injustice flagrante. Enfin, elle relève qu’aucune pièce au dossier ne permettrait d’établir que ce qu’elle a constaté ne serait pas conforme à la vérité, en relevant que ce ne serait pas parce qu’une tierce personne indiquerait ne rien avoir constaté durant plusieurs mois que tel serait le cas.</w:t>
      </w:r>
    </w:p>
    <w:p>
      <w:r>
        <w:rPr>
          <w:b/>
        </w:rPr>
        <w:t>E. 4.2</w:t>
      </w:r>
    </w:p>
    <w:p>
      <w:r>
        <w:t>Aux termes de l’art. 173 CP (Code pénal suisse du 21 décembre 1937 ; RS 311.0), se rend coupable de diffamation quiconque, en s’adressant à un tiers, accuse une personne ou jette sur elle le soupçon de tenir une conduite contraire à l’honneur, ou de tout autre fait propre à porter atteinte à sa considération, ou quiconque propage une telle accusation ou un tel soupçon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145 IV 462 consid. 4.2.2 ; ATF 137 IV 313 consid. 2.1.1). Le fait d’accuser une personne d’avoir commis une infraction pénale ou un acte clairement réprouvé par les conceptions généralement admises constitue une atteinte à l’honneur (ATF 132 IV 112 consid. 2.1 ; ATF 118 IV 248 consid. 2b ; TF 6B_1268/2019 du 15 janvier 2020 consid. 1.2 et les réf. citées).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précité ; ATF 145 IV 462 précité et les réf. citées ; TF 6B_15/2021 et 6B_32/2021 du 12 novembre 2021 consid. 2.1.2).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précité consid. 2.3.2 ; ATF 145 IV 462 précité consid. 4.2.3 ; ATF 137 IV 313 précité consid. 2.1.3 ; TF 6B_479/2022 du 9 février 2023 consid. 5.1.1). S’agissant d’un texte, il doit être analysé non seulement en fonction des expressions utilisées, prises séparément, mais aussi selon le sens général qui se dégage du texte dans son ensemble (ATF 137 IV 313 précité).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6B_479/2022 précité ; TF 6B_541/2019 du 15 juillet 2019 consid. 2.1). 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[éd.], Code pénal, Petit commentaire, 2 e éd., Bâle 2017, n. 30 ad art. 173 CP et les réf.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Il faut se placer exclusivement sur les éléments dont il avait connaissance à l’époque de sa déclaration (ibid.). Le contenu et l’étendue du devoir de vérification doivent être appréciés en tenant compte des motifs qu’avait le prévenu de faire la communication : moins ces motifs seront consistants, plus les exigences de vérification seront élevées ; à l’inverse, ces dernières seront moins sévères si l’auteur a un intérêt digne de protection. L’exigence de la bonne foi est accrue lorsque les allégations ont été formulées publiquement ou diffusées largement. L’auteur supporte le fardeau, la charge et le risque de la preuve de la bonne foi. Si celle-ci est établie, l’auteur est acquitté (Rieben/Mazou, in : Macaluso/Moreillon/Quéloz [éd.], Commentaire romand, Code pénal II, 2 e éd., Bâle 2017, nn. 39 s. et 43 ad art. 173 CP). L’admission à la preuve libératoire constitue la règle. Elle ne peut être refusée que si deux conditions sont réunies cumulativement, à savoir lorsque l’auteur a agi principalement dans le but de dire du mal d’autrui et s’il s’est exprimé sans motif suffisant (art. 173 al. 3 CP ; ATF 132 IV 112 précité consid. 3.1 ; TF 6B_1268/2019 précité consid. 1.2).</w:t>
      </w:r>
    </w:p>
    <w:p>
      <w:r>
        <w:rPr>
          <w:b/>
        </w:rPr>
        <w:t>E. 4.3</w:t>
      </w:r>
    </w:p>
    <w:p>
      <w:r>
        <w:t>En l’espèce, l’appelante ne nie pas être l’auteure du message rapporté au cas 2.3 supra et ne conteste pas qu’en laissant entendre à E.C.________ que B.C.________ était violente avec leurs enfants elle a jeté sur celle-ci auprès d’un tiers le soupçon qu’elle tiendrait une conduite contraire à l’honneur et méprisable. Elle échoue toutefois à apporter l’une des preuves libératoires. En effet, F.________ a tout d’abord échoué dans la preuve de la vérité, puisque B.C.________ a nié avoir maltraité ses enfants d’une quelconque manière et que le témoignage de W.________ n’a pas confirmé ces accusations. Sa bonne foi ne peut pas être reconnue non plus, dès lors qu’elle avait déjà fait l’objet d’une plainte pour des accusations similaires (cf. cas 1 de l’ordonnance pénale du 16 avril 2020 ; faits prescrits). Elle ne pouvait donc pas réitérer ses accusations sans en vérifier sérieusement la véracité. C’est également à tort que l’appelante croit qu’elle pourrait être exonérée de sa responsabilité si elle s’était adressée directement auprès de la DGEJ, le premier juge ayant simplement relevé qu’elle s’était adressée à l’ex-mari de la plaignante (auteur de violences conjugales), au lieu de s’adresser à l’institution compétente, ce qui démontre en outre l’inanité de sa démarche. Enfin, le fait que B.C.________ ait été libérée de l’infraction de diffamation n’y change rien, dès lors que, contrairement à l’appelante et comme on le verra ci-après (cf. consid. 8.3 infra ), celle-ci a apporté la preuve de la vérité à ses dires. Compte tenu de ce qui précède, la condamnation pour diffamation doit ainsi être confirmée.</w:t>
      </w:r>
    </w:p>
    <w:p>
      <w:r>
        <w:rPr>
          <w:b/>
        </w:rPr>
        <w:t>E. 5.1</w:t>
      </w:r>
    </w:p>
    <w:p>
      <w:r>
        <w:t>L’appelante conteste avoir frappé la plaignante (cf. cas 2.4 supra ) et soutient l’avoir seulement repoussée, alors qu’elle se trouvait sur son passage. Elle n’aurait ainsi pas commis de lésions corporelles simples à l’encontre de B.C.________. Les déclarations de la plaignante auraient été exagérées.</w:t>
      </w:r>
    </w:p>
    <w:p>
      <w:r>
        <w:rPr>
          <w:b/>
        </w:rPr>
        <w:t>E. 5.2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5.3</w:t>
      </w:r>
    </w:p>
    <w:p>
      <w:r>
        <w:t>En l’espèce, le certificat médical produit par la plaignante B.C.________ date du 8 juin 2020, soit du jour des faits litigieux. Il a été suivi par d’autres attestations médicales qui ont confirmé le tableau lésionnel, lequel est mentionné au ch. 2.4.2 supra . Avec le premier juge, il faut admettre que ces pièces sont probantes et démontrent, malgré les dénégations de la prévenue, les coups portés notamment au visage de B.C.________ qui ont occasionné un traumatisme crânien et des lésions sous forme d’ecchymoses, de même qu’une fracture osseuse non déplacée et des dermabrasions, ce qui justifie donc l’application de l’art. 123 CP. Le fait que B.C.________ ait expliqué au juge avoir dû déménager pour être sereine, alors que selon les dires de F.________ ce déménagement serait intervenu plusieurs mois après le sien, est donc sans incidence, compte tenu des pièces produites au dossier qui attestent des lésions subies par B.C.________ en lien avec les événements du 8 juin 2020. En définitive, la condamnation de l’appelante pour lésions corporelles simples doit être confirmée.</w:t>
      </w:r>
    </w:p>
    <w:p>
      <w:r>
        <w:rPr>
          <w:b/>
        </w:rPr>
        <w:t>E. 6.1</w:t>
      </w:r>
    </w:p>
    <w:p>
      <w:r>
        <w:t>L’appelante soutient que le premier juge aurait fait preuve d’arbitraire lorsqu’il a retenu que les injures étaient admises (cf. cas 2.4.1 supra ), alors qu’elle n’aurait, en réalité, reconnu que l’existence d’une dispute entre B.C.________ et elle. Elle soutient en outre que, quand bien même un échange d’injures serait retenu, il faudrait appliquer l’art. 177 al. 3 CP et renoncer à tout peine.</w:t>
      </w:r>
    </w:p>
    <w:p>
      <w:r>
        <w:rPr>
          <w:b/>
        </w:rPr>
        <w:t>E. 6.2.1</w:t>
      </w:r>
    </w:p>
    <w:p>
      <w:r>
        <w:t>Les principes liés à la présomption d’innocence ont été rappelés ci-avant (cf. consid. 5.2 supra ).</w:t>
      </w:r>
    </w:p>
    <w:p>
      <w:r>
        <w:rPr>
          <w:b/>
        </w:rPr>
        <w:t>E. 6.2.2</w:t>
      </w:r>
    </w:p>
    <w:p>
      <w:r>
        <w:t>Selon l’art. 177 al. 1 CP, quiconque, de toute autre manière, attaque autrui dans son honneur par la parole, l’écriture, l’image, le geste ou par des voies de fait, est, sur plainte, puni d’une peine pécuniaire de 90 jours-amende au plus. L’alinéa 3 de cette disposition prévoit que si l’injurié riposte immédiatement par une injure ou par des voies de fait, le juge peut renoncer à prononcer une peine contre les deux auteurs ou l’un d’eux. L’art. 177 al. 3 CP place les injures et les voies de fait sur le même pied et est aussi applicable si le premier acte consiste en des voies de fait au sens de l’art. 126 CP et non en une injure (ATF 82 IV 177). Conformément à l’art. 177 al. 3 CP,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partiellement reconstitués, doivent être renvoyés dos à dos (Corboz, Les infractions en droit suisse, vol. I, 3 e éd., Berne 2010, n. 35 ad art. 177 CP).</w:t>
      </w:r>
    </w:p>
    <w:p>
      <w:r>
        <w:rPr>
          <w:b/>
        </w:rPr>
        <w:t>E. 6.3</w:t>
      </w:r>
    </w:p>
    <w:p>
      <w:r>
        <w:t>En l’espèce, lors de l’audience de première instance, l’appelante a expliqué ne plus se souvenir si elle avait traité B.C.________ de « pute ». Elle a cependant indiqué qu’il y avait eu des « insultes mutuelles », tout en précisant qu’elles s’étaient mal parlé (jugement querellé, p. 7). Sur la base de ces déclarations et de celles de l’intimée, le premier juge a donc à juste titre retenu que l’appelante avait bien traité B.C.________ de « pute » et qu’elle s’était donc rendue coupable d’injure. De plus, contrairement à ce que soutient l’appelante, dans la mesure où B.C.________ a été libérée de l’infraction d’injure pour ce cas, il n’y a pas lieu de faire application de l’art. 177 al. 3 CP.</w:t>
      </w:r>
    </w:p>
    <w:p>
      <w:r>
        <w:rPr>
          <w:b/>
        </w:rPr>
        <w:t>E. 7.1</w:t>
      </w:r>
    </w:p>
    <w:p>
      <w:r>
        <w:t>L’appelante conteste également sa condamnation pour dommages à la propriété (cf. cas 2.1, 2.2 et 2.4.1 supra ). Les dégâts qu’elle aurait causés dans la cave de la plaignante seraient selon elle insignifiants, ne dépassant pas une centaine de francs, de sorte que l’infraction serait prescrite et que les prétentions civiles de la plaignante seraient ainsi abusives et auraient dû être rejetées. Quant aux dégâts sur la carrosserie, ils seraient également de peu d’importance, la projection d’un œuf ne pouvant occasionner que des dégâts insignifiants.</w:t>
      </w:r>
    </w:p>
    <w:p>
      <w:r>
        <w:rPr>
          <w:b/>
        </w:rPr>
        <w:t>E. 7.2.1</w:t>
      </w:r>
    </w:p>
    <w:p>
      <w:r>
        <w:t>Aux termes de l’art. 144 al. 1 CP, quiconque, sans droit, endommage, détruit ou met hors d’usage une chose appartenant à autrui ou frappée d’un droit d’usage ou d’usufruit au bénéfice d’autrui, est, sur plainte, puni d’une peine privative de liberté de trois ans au plus ou d’une peine pécuniaire. Cette disposition vise tout comportement tendant à causer un dommage, qui peut consister soit dans une atteinte à la substance de la chose, soit dans une atteinte à sa fonctionnalité (ATF 128 IV 250 consid. 2 ; ATF 117 IV 437, JdT 1994 IV 38 ; TF 6B_515/2008 du 19 novembre 2008). L’atteinte peut consister à détruire ou à altérer la chose, mais elle peut aussi consister en une modification de la chose qui a pour effet d’en supprimer ou d’en réduire l’usage, les propriétés, les fonctions ou l’agrément (ATF 128 IV 250 précité consid. 2). L’art. 144 CP ne protège pas seulement les droits du propriétaire de la chose. Il protège aussi les droits d’usage que d’autres personnes pourraient avoir sur celle-ci. Ainsi, le droit de déposer plainte n’appartient pas seulement au propriétaire, mais également à tout ayant droit privé de l’usage de la chose (Dupuis et al. [éd.], n. 9 ad art. 144 CP). L’infraction est intentionnelle ; le dol éventuel suffit. L’auteur doit avoir la conscience et la volonté, au moins sous la forme du dol éventuel, de s’en prendre à la chose d’autrui ou à l’usage d’autrui, et d’en changer l’état (ATF 116 IV 143 consid. 2b ; ATF 115 IV 26 consid. 3a, JdT 1990 IV 6 ; Dupuis et al., n. 16 ad. art. 144 CP et les réf. citées).</w:t>
      </w:r>
    </w:p>
    <w:p>
      <w:r>
        <w:rPr>
          <w:b/>
        </w:rPr>
        <w:t>E. 7.2.2</w:t>
      </w:r>
    </w:p>
    <w:p>
      <w:r>
        <w:t>Selon l’art. 172 ter CP, si l’acte ne vise qu’un élément patrimonial de faible valeur ou un dommage de moindre importance, l’auteur est, sur plainte, puni d’une amende. Un élément patrimonial est de faible valeur s’il ne vaut pas plus de 300 fr. (ATF 142 IV 129 consid. 3.1 ; TF 6B_490/2023 du 8 novembre 2023 consid. 3.1). Selon la jurisprudence, c’est l’intention qui est déterminante et non le résultat obtenu. L’art. 172 ter CP n’est applicable que si l’auteur n’avait d’emblée en vue qu’un élément patrimonial de faible valeur (ATF 123 IV 155 consid. 1a ; ATF 122 IV 156 consid. 2a ; TF 6B_497/2020 du 3 novembre 2020 consid. 2.1.2 ; TF 6B_158/2018 du 14 juin 2018 consid. 2.2). Lorsque l’intention de l’auteur, y compris sous la forme du dol éventuel, portait sur un montant supérieur à la valeur limite admise, l’art. 172ter CP ne trouve pas application, même si le montant du délit est inférieur à 300 fr. (ATF 123 IV 197 consid. 2a ; ATF 123 IV 113 consid. 3f ; TF 6B_68/2022 du 31 janvier 2023 consid. 2.2 ; TF 6B_859/2018 du 3 octobre 2018 consid. 2.1). Aux termes de l’art.</w:t>
      </w:r>
    </w:p>
    <w:p>
      <w:r>
        <w:rPr>
          <w:b/>
        </w:rPr>
        <w:t>E. 7.2.3</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 Commentaire romand, Code de procédure pénale suisse, 2 e éd. 2019, n. 6 ad art. 126 CPP ; Moreillon/Parein-Reymond, Code de procédure pénale, Petit commentaire, 2 e éd., Bâle 2016, n. 3 ad art. 126 CPP).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 citées).</w:t>
      </w:r>
    </w:p>
    <w:p>
      <w:r>
        <w:rPr>
          <w:b/>
        </w:rPr>
        <w:t>E. 7.3.1</w:t>
      </w:r>
    </w:p>
    <w:p>
      <w:r>
        <w:t>En l’espèce, contrairement à ce que soutient l’appelante, B.C.________ a produit des pièces au dossier à l’appui de ses conclusions civiles, lesquelles attestent que les dégâts causés aux affaires entreposées dans la cave (casques de ski, paire de chaussures et aspirateur) dépassent 800 fr., étant rappelé qu’un montant supérieur à 300 fr. suffit à écarter le cas de peu d’importance. Il résulte en outre des pièces produites au dossier que les dégâts causés à la carrosserie se sont élevés à 1’359 fr. 30. Prétendre que le jet d’un œuf sur une carrosserie représenterait un dommage inférieur à 300 fr. ne saurait dès lors être retenu en l’espèce. De plus, le droit de déposer plainte pénale n’appartient pas seulement au propriétaire, mais également à tout ayant droit privé de l’usage de la chose. Enfin, comme relevé ci-avant (cf. consid. 7.3.1 supra ), le fait que le premier juge n’ait pas retenu, dans le cadre des conclusions civiles, le montant en lien avec les dégâts de la voiture n’y change rien, dès lors que celles-ci ont été rejetées non pas en raison de l’inexistence même du dommage, mais du fait que les factures produites au dossier n’étaient pas au nom de B.C.________ et qu’il n’était donc pas établi si elle s’était elle-même acquittée de celles-ci. Au vu de ces éléments, l’appelante s’est donc bien rendue coupable de dommages à la propriété.</w:t>
      </w:r>
    </w:p>
    <w:p>
      <w:r>
        <w:rPr>
          <w:b/>
        </w:rPr>
        <w:t>E. 7.3.2</w:t>
      </w:r>
    </w:p>
    <w:p>
      <w:r>
        <w:t>S’agissant du cas 2.4.1 supra , l’appelante soutient que B.C.________ n’aurait pas établi le dommage causé à son ordinateur. De plus, elle relève que le premier juge aurait fait preuve d’arbitraire lorsqu’il a retenu le prix neuf d’un ordinateur à hauteur de 777 francs. L’appelante relève qu’il en irait de même pour les lunettes dont on ne saurait pas comment elles auraient été cassées, ni quel était leur prix. Enfin, l’appelante soutient qu’elle n’aurait jamais eu l’intention de causer de tels dommages, sa seule intention ayant été uniquement de faire un peu de place, afin de passer dans le couloir pour se rendre chez elle. En définitive, elle soutient que l’infraction de peu d’importance devrait être retenue, laquelle serait toutefois prescrite. Comme l’a retenu le premier juge, les dommages aux lunettes et à l’ordinateur portable de B.C.________ ont été mentionnés par celle-ci dans sa plainte du 12 juin 2020. Le bris des lunettes était en outre déjà relevé dans le certificat médical du 8 juin 2020, établi le jour des faits, de sorte que c’est à juste titre qu’il a tenu pour établi qu’au moment de lui asséner les coups, l’appelante a endommagé les lunettes et l’ordinateur portable de la plaignante et qu’elle s’est donc rendue coupable de dommages à la propriété. En aucun cas il peut être retenu un cas de peu d’importance, compte tenu des objets endommagés. En frappant B.C.________, l’appelante a à tout le moins commis des dommages à la propriété par dol éventuel. Enfin, comme relevé ci-avant (cf. consid. 7.3.1 supra ), l’admission ou le rejet des concluions civiles prises par B.C.________ à ce titre n’a aucune incidence sur la réalisation ou non de l’infraction.</w:t>
      </w:r>
    </w:p>
    <w:p>
      <w:r>
        <w:rPr>
          <w:b/>
        </w:rPr>
        <w:t>E. 7.3.4</w:t>
      </w:r>
    </w:p>
    <w:p>
      <w:r>
        <w:t>S’agissant des conclusions civiles prises par B.C.________ et retenues à hauteur de 1’058 fr. 80 (559 fr. + 299 fr. 80 + 200 fr.) par le premier juge, en lien avec les frais pour une nouvelle paire de lunettes – lesquels ont été établis par une facture produite au dossier –, les deux casques de ski – dont le carton et les étiquettes figurent au dossier –, ainsi que la participation aux frais médicaux – laquelle a été admise au vu de l’IRM et du scanner du coude gauche que B.C.________ a dû faire consécutivement aux faits du 8 juin 2021 –, celles-ci doivent être admises et confirmées en appel. En effet, les pièces produites au dossier à ce titre ont permis d’établir les dommages, ainsi que leurs montants, lesquels ne sont pas exagérés, comme semble pourtant le soutenir l’appelante. 8. 8.1 L’appelante requiert la condamnation de B.C.________ pour diffamation (cf. cas 4 de l’acte d’accusation du 8 novembre 2022). Elle fait valoir que la dénonciation qui a été adressée à la DGEJ serait particulièrement grave et porterait sur des faits mensongers. 8.2 Les principes liés à la diffamation ont été rappelés ci-avant (cf. consid. 4.2 supra ). 8.3 Le premier juge a relevé que le signalement des enfants de F.________ effectué par B.C.________ auprès de la DGEJ figurait au dossier (P. 12/1) et a considéré que les allégations contenues dans cette dénonciation étaient conformes à la vérité, respectivement que B.C.________ avait des raisons sérieuses de tenir de bonne foi ses allégations pour vraies. En effet, l’appelante a admis avoir, le jour des faits, soit le 27 avril 2021, grondé sa fille, l’avoir prise par la veste, avoir lancé sa gourde contre la voiture de B.C.________ et avoir ensuite écrit à W.________ qu’elle avait « pété un câble ». Il est ainsi établi que l’appelante a fait preuve de violence ce jour-là. En outre, B.C.________ s’est conformée aux instructions d’une assistance sociale, qui lui a conseillé de faire un signalement. Elle n’était ainsi pas mue par l’envie de dire du mal de l’appelante, mais a suivi le conseil d’une professionnelle en protection de l’enfance. Enfin, on peut également relever que l’appelante a déjà été condamnée pour lésions corporelles graves en 2015, pour avoir lancé sa fille violemment sur son lit, lui occasionnant ainsi de graves blessures. C’est donc à juste titre que B.C.________ a été libérée de l’accusation de diffamation, celle-ci ayant apporté les preuves libératoires qui excluent sa condamnation. 9. 9.1 L’appelante conteste le tort moral alloué à B.C.________. Elle prétend que celui-ci se fonderait exclusivement sur le fait, contesté, que B.C.________ et son fils vivaient dans la peur de F.________. Elle relève toutefois qu’aucune prétention n’aurait été formulée au nom et pour le compte du fils de B.C.________. De plus, l’instruction aurait démontré que B.C.________ et son fils avaient des raisons d’avoir peur. Enfin, B.C.________ aurait menti lorsqu’elle a déclaré avoir dû déménager en raison de la situation générée par l’appelante. 9.2 Selon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II 117 consid. 2.2.2 ; ATF 125 III 412 consid. 2a, JdT 2006 IV 118).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 TF 6B_400/2008 du 7 octobre 2008 consid. 6.1).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(TF 6B_400/2008 précité).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TF 6B_242/2019 du 18 mars 2019 consid. 2.1). Le juge en proportionnera le montant à la gravité de l’atteinte subie et évitera que la somme accordée n’apparaisse dérisoire à la victime (ATF 130 III 699 consid. 5.1 ; ATF 129 IV 22 consid. 7.2, JdT 2006 IV 182). 9.3 En l’occurrence, le premier juge ne s’est pas exclusivement fondé sur la peur ressentie par B.C.________ et son fils pour fixer le montant de l’indemnité, cet élément ayant été retenu à titre secondaire. Comme l’a relevé à juste titre le tribunal, B.C.________ a subi de la part de l’appelante des coups qui lui ont occasionné un traumatisme crânien, ainsi qu’une fracture. A cela s’ajoute qu’elle a dû faire face à des allégations de violence sur ses enfants exprimées auprès de son ex-époux. Le fait que la plaignante ait pris la décision de déménager avant ou après le déménagement de l’appelante ne change rien au raisonnement du premier juge qui retient que, durant la période où elle habitait dans le même immeuble que l’appelante, elle et ses enfants vivaient dans la peur et avaient même installé une chaîne de protection à la porte et avaient mis en place des stratégies pour éviter de la croiser. Au vu de tous ces éléments, c’est donc à juste titre que le premier juge a retenu que les souffrances subies par B.C.________ justifiaient l’allocation d’un tort moral de 3’000 fr., avec intérêt à 5 % l’an dès le 15 juin 2019. 10. Pour le reste, l’appelante fait valoir des critiques toutes générales, soit qu’elle se verrait en définitive reprocher unilatéralement tous les incidents avec la partie adverse, alors que cette dernière aurait « toujours pris l’initiative des échanges ». A supposer cette affirmation exacte, elle ne modifie toutefois en rien l’appréciation des preuves effectuée ci-dessus. 11. 11.1 L’appelante conteste la peine prononcée en première instance qui ne devrait pas excéder 70 jours-amende. 11.2 11.2.1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11.2.2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consid. 1.1.1 ; ATF 144 IV 217 consid. 2.2 ; ATF 138 IV 120 précité consid. 5.2). Si les sanctions envisagées concrètement ne sont pas du même genre, elles doivent être prononcées cumulativement (ATF 144 IV 313 précité consid. 1.1 ; ATF 142 IV 265 précité consid. 2.3.2 ; ATF 138 IV 120 précité consid. 5.2 ; ATF 137 IV 57 consid. 4.3.1). La peine privative de liberté et la peine pécuniaire ne sont pas des sanctions du même genre (ATF 144 IV 313 précité consid. 1.1 ; ATF 144 IV 217 précité consid. 2.2). 11.2.3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11.3 La Cour de céans constate que la peine a été fixée conformément à la culpabilité de l’appelante, laquelle est loin d’être négligeable. En effet, les faits se sont déroulés sur une période de plus d’un an et quatre cas ont été retenus à l’encontre de l’appelante. De plus, encore au stade de l’appel, l’appelante n’a eu de cesse de minimiser son implication, en prétendant n’avoir causé que des dommages de peu d’importance ou n’ayant que riposté suite à de prétendues attaques de B.C.________. Il ne peut dès lors être retenu une quelconque prise de conscience de sa part, ce d’autant qu’elle s’en est prise tant à l’intégrité physique de la plaignante, qu’à sa propriété et à son honneur. La peine proposée par la défense d’un quantum inférieur à 150 jours est donc totalement exclue. La prévenue a également deux antécédents inscrits au casier judiciaire, dont l’un concerne des lésions corporelles graves et l’autre des dommages à la propriété et une injure. Au vu de ces éléments, la peine pécuniaire de 150 jours-amende doit dès lors être confirmée. En effet, l’infraction de lésions corporelles simples, qui est l’infraction de base, doit être réprimée par une peine pécuniaire de 90 jours-amende, augmentée de 30 jours-amende pour la diffamation, de 25 jours-amende pour les dommages à la propriété et de 5 jours-amende pour l’injure. Compte tenu de la situation financière de l’appelante, la quotité du jour-amende, arrêtée à 30 fr., doit être confirmée. Au vu des antécédents de F.________ et de son absence de prise de conscience, un pronostic défavorable doit être posé, de sorte que la peine pécuniaire prononcée sera ferme. La prolongation d’un an du sursis accordé le 7 mai 2015 par le Juge de police de la Glâne doit également être confirmée.</w:t>
      </w:r>
    </w:p>
    <w:p>
      <w:r>
        <w:rPr>
          <w:b/>
        </w:rPr>
        <w:t>E. 12</w:t>
      </w:r>
    </w:p>
    <w:p>
      <w:r>
        <w:t>En définitive, l’appel déposé par F.________ doit être rejeté et le jugement entrepris confirmé. Me Bernard Ayer, défenseur d’office de F.________, a produit une liste d’opérations indiquant 11h40 d’activité, laquelle peut être admise.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2’100 francs. Il faut y ajouter 2 % pour les débours forfaitaires (art. 3bis al. 1 RAJ par renvoi de l’art. 26b TFIP), soit 42 fr., et la TVA de 8.1 % sur le tout, soit 173 fr. 50, ce qui correspond à une indemnité totale de 2’315 fr. 50. Vu l’issue de la cause, les frais de la procédure d’appel, par 2'750 fr. (art. 21 al. 1 TFIP), ainsi que l’indemnité allouée au défenseur d’office, par 2'315 fr. 50, soit au total 5'065 fr. 50, seront mis à la charge de l’appelante, qui succombe (art. 428 al. 1 CPP). L’appelante sera tenue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