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357 vom 26. August 2020</w:t>
      </w:r>
    </w:p>
    <w:p>
      <w:r>
        <w:t>VD Tribunal cantonal, 2020-08-26, FR</w:t>
      </w:r>
    </w:p>
    <w:p>
      <w:r>
        <w:rPr>
          <w:b/>
        </w:rPr>
        <w:t xml:space="preserve">Quelle: </w:t>
      </w:r>
      <w:r>
        <w:t>https://mcp.opencaselaw.ch/entscheid/vd_findinfo_Jug___2024___357</w:t>
      </w:r>
    </w:p>
    <w:p>
      <w:r>
        <w:t>FR: VD_FINDINFO Jug / 2024 / 357 du 26 août 2020</w:t>
      </w:r>
    </w:p>
    <w:p>
      <w:r>
        <w:t>IT: VD_FINDINFO Jug / 2024 / 357 del 26 agosto 2020</w:t>
      </w:r>
    </w:p>
    <w:p>
      <w:pPr>
        <w:pStyle w:val="Heading2"/>
      </w:pPr>
      <w:r>
        <w:t>Regeste</w:t>
      </w:r>
    </w:p>
    <w:p>
      <w:r>
        <w:t>CONTRAINTE SEXUELLE, TENTATIVE{DROIT PÉNAL}, EXPULSION{DROIT PÉNAL}, VIOL | 49 CO, 19 al. 2 CP, 190 CP, 22 ad 189 al. 1 CP, 66a al. 1 let. h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La motivation de l’arrêt de renvoi – qui fixe aussi bien le cadre du nouvel état de fait que celui de la nouvelle motivation juridique – détermine dans quelle mesure la cour cantonale est liée par la première décision (ATF 148 I 127 précité consid. 3.1; ATF 135 III 334 consid. 2).</w:t>
      </w:r>
    </w:p>
    <w:p>
      <w:r>
        <w:rPr>
          <w:b/>
        </w:rPr>
        <w:t>E. 2</w:t>
      </w:r>
    </w:p>
    <w:p>
      <w:r>
        <w:t>Dans son arrêt du 8 février 2024, le Tribunal fédéral considère qu'en niant l'élément de contrainte, la cour cantonale a violé le droit fédéral. En outre, il estime qu'elle a versé dans l'arbitraire en niant l'intention de M.________ sur les faits reprochés. Il en conclut que M.________ doit également être condamné pour viol et tentative de contrainte sexuelle à l'encontre d'O.________. C'est donc en vain, au regard de ce qui précède, que le prévenu conclut à nouveau à son acquittement de ces infractions.</w:t>
      </w:r>
    </w:p>
    <w:p>
      <w:r>
        <w:rPr>
          <w:b/>
        </w:rPr>
        <w:t>E. 3</w:t>
      </w:r>
    </w:p>
    <w:p>
      <w:r>
        <w:t>M.________ devant également être condamné pour viol et tentative de contrainte sexuelle à l'encontre d'O.________, il convient d'évaluer sa culpabilité et de fixer la peine.</w:t>
      </w:r>
    </w:p>
    <w:p>
      <w:r>
        <w:rPr>
          <w:b/>
        </w:rPr>
        <w:t>E. 3.1.1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3.1.2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6B_1329/2023 du 19 février 2024 consid. 1.4).</w:t>
      </w:r>
    </w:p>
    <w:p>
      <w:r>
        <w:rPr>
          <w:b/>
        </w:rPr>
        <w:t>E. 3.1.3</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 TF 6B_145/2016 du 23 novembre 2016 consid. 4.1).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3.1.4</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3.2</w:t>
      </w:r>
    </w:p>
    <w:p>
      <w:r>
        <w:t>En l'espèce, M.________ s'est rendu coupable de lésions corporelles simples qualifiées, voies de fait qualifiées, appropriation illégitime sans dessein d'enrichissement au préjudice de proches ou de familiers, injure, séquestration, tentative de contrainte sexuelle, contrainte sexuelle, viol et contravention à la loi fédérale sur les stupéfiants. Les considérations des premiers juges quant à la culpabilité du prévenu ne sont pas sujettes à critiques. La faute de M.________ est très lourde. Il ne fait preuve d'aucune empathie envers ses victimes, qu'il considère comme des filles inférieures, de peu de vertu, qui ne méritent dès lors pas de considération et qu'il n'a pas hésité à salir tout au long de ses auditions. Au jour de l'audience d'appel du 19 août 2024, six ans après les faits infligés à O.________, M.________ a persisté à les nier en se déclarant toujours innocent, ce qui témoigne de son absence de remise en question. De plus, le risque de récidive est décrit comme moyen à élevé par les experts. Il n'a fait preuve d'aucun remords et a récidivé en cours d'enquête, pour des faits similaires aux premiers dénoncés. A charge, on retiendra également le concours d'infractions et la relativement longue durée des actes ainsi que leur répétition. On ne voit guère d'éléments à décharge. Compte tenu de la diminution légère de responsabilité qui allège un peu la culpabilité du prévenu, sans cela écrasante, la peine de 4 ans arrêtée par les premiers juges est adéquate et doit être confirmée, dès lors qu'avec une pleine et entière capacité de discernement elle aurait été de 5 ans. De cette peine, devront être déduites la détention provisoire, par 366 jours, et la détention pour des motifs de sûreté au jour du jugement du 26 août 2020, par 90 jours. La détention subie depuis le jugement de première instance doit aussi en être déduite. La peine pécuniaire de 20 jours-amende à 20 fr. le jour, sanctionnant l'injure, et l'amende de 800 fr., convertible en une peine privative de liberté de substitution de 16 jours en cas de non-paiement fautif, sanctionnant la consommation de produits stupéfiants, sont adéquates et peuvent être confirmées également. La peine privative de liberté étant arrêtée à 4 ans, la question du sursis entier ne se pose pas. Le prévenu doit être maintenu en détention pour des motifs de sûreté.</w:t>
      </w:r>
    </w:p>
    <w:p>
      <w:r>
        <w:rPr>
          <w:b/>
        </w:rPr>
        <w:t>E. 4</w:t>
      </w:r>
    </w:p>
    <w:p>
      <w:r>
        <w:t>M.________ a commis des infractions qui tombent sous le coup de l'art. 66a al. 1 let. h CP. En outre, son intégration professionnelle, économique et sociale est médiocre. Le prévenu est au bénéfice de l’AI et d’une curatelle ; il n’a pas de formation professionnelle et vit des prestations qu’il perçoit des assurances sociales et des prestations complémentaires et a des dettes. Enfin, il parle le portugais et a encore des oncles, tantes et cousins du côté paternel au Portugal. Partant, il ne rencontrera vraisemblablement pas davantage de difficultés de réinsertion dans ce pays qu’en Suisse. Il pourra par ailleurs conserver des contacts avec sa famille en Suisse, par l’intermédiaire des moyens de communication modernes. Il ne s’expose donc pas à une situation personnelle grave en cas de renvoi dans son pays d’origine, qui offre des conditions d’existence décentes. En définitive, quand bien même M.________ est né en Suisse, où il a vécu toute sa vie et où vivent sa mère et ses sœurs, compte tenu de la gravité des infractions en cause, portant atteinte à des biens juridiques importants tels que l’intégrité sexuelle, du risque effectif de récidive et de ses perspectives de réinsertion au Portugal, l’intérêt public à l’éloignement de l’intéressé l’emporte sur l’intérêt privé de celui-ci à demeurer en Suisse. En conséquence, la mesure d’expulsion prononcée par les premiers juges doit être confirmée. Cela étant, au vu du fait que le prévenu, jeune, est né en Suisse et n’a pas encore été condamné pénalement, la durée de l’expulsion, fixée à 10 ans, est disproportionnée et doit être réduite à 5 ans.</w:t>
      </w:r>
    </w:p>
    <w:p>
      <w:r>
        <w:rPr>
          <w:b/>
        </w:rPr>
        <w:t>E. 5</w:t>
      </w:r>
    </w:p>
    <w:p>
      <w:r>
        <w:t>La condamnation de M.________ pour tentative de contrainte sexuelle et viol à l'encontre d'O.________ ayant été confirmée, il n'y a pas matière à revoir l'octroi des conclusions civiles à cette dernière, par 7'000 fr., avec intérêts à 5 % l'an à compter du 4 mars 2018, à titre d'indemnité pour tort moral. Il est en effet établi que les actes commis par le prévenu sur sa personne ont eu des conséquences psychiques indéniables. Le montant réclamé est raisonnable et adéquat. Etant donné que les autres prétentions réclamées par O.________ sont des dépens et qu'elle s'est vu désigner un conseil juridique gratuit, celles-ci seront par contre rejetées.</w:t>
      </w:r>
    </w:p>
    <w:p>
      <w:r>
        <w:rPr>
          <w:b/>
        </w:rPr>
        <w:t>E. 6</w:t>
      </w:r>
    </w:p>
    <w:p>
      <w:r>
        <w:t>Les considérants II. 9) et III du jugement de la Cour de céans du 15 janvier 2021, traitant de la levée du séquestre n° 10810, la restitution à M.________ de son téléphone mobile et la confiscation et la destruction des objets séquestrés sous fiche n° 10624, respectivement le recours de Me Luis Neves, restent valables et l'on peut s'y référer.</w:t>
      </w:r>
    </w:p>
    <w:p>
      <w:r>
        <w:rPr>
          <w:b/>
        </w:rPr>
        <w:t>E. 7.1</w:t>
      </w:r>
    </w:p>
    <w:p>
      <w:r>
        <w:t>Les frais de première instance doivent être mis à la charge de M.________ qui succombe (art. 426 al. 1 CPP [Code de procédure pénale du 5 octobre 2007 ; RS 312.0]). L'indemnité de Me Luis Neves ayant été modifiée dans le jugement de la Cour de céans du 15 janvier 2021, en ce sens que ce n'est pas la somme de 17'705 fr. 90 qui lui est allouée mais celle de 18'542 fr. 15, TVA et débours compris, les frais de première instance seront arrêtés à 37'836 fr. 25 (37'000 -17'705.90 + 18'542.15) au lieu de 37'000 fr., tels que fixés en première instance.</w:t>
      </w:r>
    </w:p>
    <w:p>
      <w:r>
        <w:rPr>
          <w:b/>
        </w:rPr>
        <w:t>E. 7.2.1</w:t>
      </w:r>
    </w:p>
    <w:p>
      <w:r>
        <w:t>Les indemnités de Me Luis Neves et Me Dorothée Raynaud dans la cadre de la procédure d'appel antérieure à l’arrêt du Tribunal fédéral du 11 mars 2022 ont été arrêtées à 4'653 fr. 10, respectivement 2'165 fr. 95. Il s'avère que le chiffre VI du dispositif communiqué après l'audience d'appel contient une erreur, dans la mesure où il mentionne qu'une indemnité de défenseur d'office pour la procédure d'appel antérieure à l'arrêt du Tribunal fédéral du 11 mars 2022 d'un montant de 4'161 fr. 90, TVA et débours inclus, est allouée à Me Luis Neves. S'agissant d'une erreur manifeste, le dispositif sera modifié d'office en application de l'art. 83 al. 1 CPP.</w:t>
      </w:r>
    </w:p>
    <w:p>
      <w:r>
        <w:rPr>
          <w:b/>
        </w:rPr>
        <w:t>E. 7.2.2</w:t>
      </w:r>
    </w:p>
    <w:p>
      <w:r>
        <w:t>Les frais d'appel antérieurs à l’arrêt du Tribunal fédéral du 11 mars 2022 seront répartis comme suit : les trois quarts de l’émolument d’appel, totalisant 4'220 fr. et de l’indemnité allouée au défenseur d’office par 4'653 fr. 10, soit par 7'394 fr. 25, ainsi que l’indemnité allouée au conseil d’office par 2'165 fr. 95, seront mis à la charge de M.________ et le solde sera laissé à la charge de l’Etat.</w:t>
      </w:r>
    </w:p>
    <w:p>
      <w:r>
        <w:rPr>
          <w:b/>
        </w:rPr>
        <w:t>E. 7.2.3</w:t>
      </w:r>
    </w:p>
    <w:p>
      <w:r>
        <w:t>M.________ ne sera tenu de rembourser à l’Etat les trois quarts de ces indemnités que lorsque sa situation financière le permettra.</w:t>
      </w:r>
    </w:p>
    <w:p>
      <w:r>
        <w:rPr>
          <w:b/>
        </w:rPr>
        <w:t>E. 7.3</w:t>
      </w:r>
    </w:p>
    <w:p>
      <w:r>
        <w:t>Le considérant 5 du jugement de la Cour de céans du 19 juillet 2022, statuant sur les indemnités de Me Luis Neves et Me Dorothée Raynaud ains que sur les frais d'appel postérieurs à l’arrêt du Tribunal fédéral du 11 mars 2022, reste valable et l'on peut s'y référer.</w:t>
      </w:r>
    </w:p>
    <w:p>
      <w:r>
        <w:rPr>
          <w:b/>
        </w:rPr>
        <w:t>E. 7.4.1</w:t>
      </w:r>
    </w:p>
    <w:p>
      <w:r>
        <w:t>Pour la procédure d'appel postérieure à l'arrêt du 8 février 2024 du Tribunal fédéral, Me Luis Neves a produit une liste d'opérations faisant état de 15h35 d'activité (P. 252), dont il y a lieu de s'écarter pour les raisons suivantes. Les 2h45 « d'étude de dossier », tant le 20 février que le 4 mars 2024, sont plus qu'excessives au vu de l'arrêt très clair du Tribunal fédéral du 8 février 2024. Un temps de 30 minutes pour sa lecture est jugée suffisante. Il en va de même des opérations des 16 et 19 août 2024 « d'étude de dossier », lesquelles seront ramenées à 1h au total. Enfin, l'audience ayant duré 55 minutes, soit moins d'une heure, les 30 minutes supplémentaires estimées seront retranchées. Il s'ensuit une activité de 4h35 d'avocat breveté au tarif horaire de 180 fr. (art. 2 al. 1 let. a et 3 al. 2 RAJ [règlement sur l'assistance judiciaire en matière civile du 7 décembre 2010 ; BLV 211.02.3] par renvoi de l’art. 26b TFIP [tarif des frais de procédure et indemnités en matière pénale du 28 septembre 2010 ; BLV 312.03.1]), soit 825 francs. Viennent s’y ajouter des débours forfaitaires à hauteur de 2 % des honoraires admis, soit 16 fr. 50, une vacation à 118 fr. 30 correspondant à 169 km à 70 centimes le km et la TVA au taux de 8,1 % sur le tout, par 77 fr. 74. L’indemnité d’office s’élève au total à 1'038 fr. 54. De son côté, le conseil d'office d'O.________, Me Dorothée Raynaud, a produit une liste d'opérations faisant état de 5h20 d'activité (P. 253). Les 2h de préparation d'audience et de rédaction de plaidoirie seront ramenées à 1h pour les mêmes raisons que retenues ci-avant s'agissant de l'indemnité de Me Luis Neves. En effet, l'arrêt du 8 février 2024 du Tribunal fédéral est très clair et ne nécessite pas de longues préparations juridiques. En outre, seule 1h sera allouée pour l'audience d'appel et non 1h20 ; de surcroît au tarif horaire de 110 fr. dès lors que c'est l'avocate-stagiaire qui s'y est présentée. Il s'ensuit une activité de 2h59 au tarif horaire de 180 fr. et 1h au tarif de 110 fr. de l'heure, soit 647 fr., auxquels il convient d'ajouter des débours forfaitaires à hauteur de 2 % des honoraires admis, soit 12 fr. 94, une vacation à 80 fr. et la TVA au taux de 8,1 % sur le tout, par 59 fr. 93. L’indemnité d’office s’élève au total à 799 fr. 87. Il s’avère que les chiffre XIII et XIV du dispositif communiqué après l’audience d’appel contiennent une erreur, dans la mesure où il mentionne qu’une indemnité de défenseur d'office pour la procédure d'appel d'un montant de 852 fr. 80, TVA et débours inclus, est allouée à Me Luis Neves, et de 987 fr. 95, TVA et débours inclus, est allouée à Me Dorothée Raynaud. S’agissant d’une erreur manifeste, le dispositif sera modifié d’office en application de l’art. 83 al. 1 CPP.</w:t>
      </w:r>
    </w:p>
    <w:p>
      <w:r>
        <w:rPr>
          <w:b/>
        </w:rPr>
        <w:t>E. 7.4.2</w:t>
      </w:r>
    </w:p>
    <w:p>
      <w:r>
        <w:t>Vu l’issue de la cause, les frais d'appel postérieurs à l'arrêt du Tribunal fédéral du 8 février 2024, constitués des émoluments du présent jugement et de l'audience du 19 août 2024, par 2'710 fr. (21 pages et moins d'une heure d'audience ; cf. art. 21 al. 1 et 2 TFIP), auxquels s'ajoutent l'indemnité du défenseur d'office de M.________ et du conseil juridique gratuit de O.________, soit au total par 4'548 fr. 41,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