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 vom 31. März 2023</w:t>
      </w:r>
    </w:p>
    <w:p>
      <w:r>
        <w:t>VD Tribunal cantonal, 2023-03-31, FR</w:t>
      </w:r>
    </w:p>
    <w:p>
      <w:r>
        <w:rPr>
          <w:b/>
        </w:rPr>
        <w:t xml:space="preserve">Quelle: </w:t>
      </w:r>
      <w:r>
        <w:t>https://mcp.opencaselaw.ch/entscheid/vd_findinfo_Jug___2024___35</w:t>
      </w:r>
    </w:p>
    <w:p>
      <w:r>
        <w:t>FR: VD_FINDINFO Jug / 2024 / 35 du 31 mars 2023</w:t>
      </w:r>
    </w:p>
    <w:p>
      <w:r>
        <w:t>IT: VD_FINDINFO Jug / 2024 / 35 del 31 marzo 2023</w:t>
      </w:r>
    </w:p>
    <w:p>
      <w:pPr>
        <w:pStyle w:val="Heading2"/>
      </w:pPr>
      <w:r>
        <w:t>Regeste</w:t>
      </w:r>
    </w:p>
    <w:p>
      <w:r>
        <w:t>DÉTENTION POUR DES MOTIFS DE SÛRETÉ, RISQUE DE RÉCIDIVE, MESURE THÉRAPEUTIQUE INSTITUTIONNELLE, MISE EN LIBERTÉ DÉFINITIVE, REJET DE LA DEMANDE | 212 CPC (CH), 221 CPC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la demande de libération présentée par F.________ est recevable.</w:t>
      </w:r>
    </w:p>
    <w:p>
      <w:r>
        <w:rPr>
          <w:b/>
        </w:rPr>
        <w:t>E. 1.3</w:t>
      </w:r>
    </w:p>
    <w:p>
      <w:r>
        <w:t>L’autorité investie de la direction de la procédure est le président du tribunal, respectivement le Président de la Cour de céans (art. 61 let. c CPP).</w:t>
      </w:r>
    </w:p>
    <w:p>
      <w:r>
        <w:rPr>
          <w:b/>
        </w:rPr>
        <w:t>E. 2.1</w:t>
      </w:r>
    </w:p>
    <w:p>
      <w:r>
        <w:t>F.________ fait valoir que le risque de récidive relevé par l’experte ne serait pas qualifié, dans la mesure où il ne serait nullement imminent, mais très vague. Il prétend qu’il n’aurait d’ailleurs pas été condamné pour l’une des infractions listées à l’art. 64 al. 1 CP, de sorte que l’exécution d’une mesure en milieu fermé ne serait pas justifiée. De plus, dès lors qu’il a été acquitté, aucune détention pour des motifs de sûreté ne saurait se justifier selon lui, seule une exécution anticipée de la mesure pouvant l’être, pour autant qu’il existe un établissement adéquat.</w:t>
      </w:r>
    </w:p>
    <w:p>
      <w:r>
        <w:rPr>
          <w:b/>
        </w:rPr>
        <w:t>E. 2.2.1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2.2.2</w:t>
      </w:r>
    </w:p>
    <w:p>
      <w:r>
        <w:t>L'art. 221 al. 1 let. c CPP pose ainsi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précité consid. 2.3.1 ; ATF 137 IV 13 consid.</w:t>
      </w:r>
    </w:p>
    <w:p>
      <w:r>
        <w:rPr>
          <w:b/>
        </w:rPr>
        <w:t>E. 2.2.3</w:t>
      </w:r>
    </w:p>
    <w:p>
      <w:r>
        <w:t>Aux termes de l'art. 56 al. 2 CP, le prononcé d'une mesure suppose que l'atteinte aux droits de la personnalité qui en résulte pour l'auteur ne soit pas disproportionnée au regard de la vraisemblance qu'il commette de nouvelles infractions et de leur gravité.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Par conséquent, l'art. 59 al. 3 CP prime l'art. 58 al. 2 CP dans la mesure où il constitue une lex specialis . En outre, l'art. 59 al. 3 CP n'exige pas que du personnel qualifié soit présent en permanence dans l'établissement, comme ce serait le cas pour un établissement spécialisé d'exécution des mesures (TF 6B_952/2022 du 29 mars 2023 consid. 5.7 ; TF 6B_1322/2021 précité consid. 2.6.2). Le risque de fuite ou de récidive au sens de l'art. 59 al. 3 CP auquel est subordonné le traitement dans un établissement fermé doit concerner un risque qualifié, puisque toutes les mesures supposent un risque de récidive (art. 56 al. 1 let. b CP). Il s'agit d'un danger qui ne peut être combattu que par le placement dans un établissement fermé. Conformément au principe de la proportionnalité, l'exécution de la mesure dans un établissement fermé suppose une sérieuse mise en danger de biens juridiques essentiels (TF 1B_284/2023 précité consid. 2.2 ; TF 6B_1069/2021 précité consid. 1.1 et les réf. citées). La question de savoir si le placement doit s'effectuer en milieu fermé ou non relève, à l'instar du choix du lieu d’exécution de la mesure, de la compétence de l'autorité d'exécution (ATF 142 IV 1 précité consid. 2.5, JdT 2016 IV 329 spéc. 338 ; TF 1B_284/2023 précité consid. 2.2).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w:t>
      </w:r>
    </w:p>
    <w:p>
      <w:r>
        <w:rPr>
          <w:b/>
        </w:rPr>
        <w:t>E. 2.3</w:t>
      </w:r>
    </w:p>
    <w:p>
      <w:r>
        <w:t>En l’espèce, il est tout d’abord rappelé que la Cour d’appel pénale a en substance retenu (cf. consid. 6.3.1) qu’au vu des conclusions de l’experte, de la gravité des troubles psychiatriques présentés par F.________ – lequel n’a jamais pu adhérer à un suivi ambulatoire –, de sa toxicomanie, de ses antécédents judiciaires, de la suspicion de violences physiques commises sur des proches et la victime elle-même, de même que du parcours de vie du requérant tel qu’il ressort du compte-rendu de ses hospitalisations – régulièrement déclenchées par des actes de violence envers des membres de sa famille et qui ont également donné lieu à des gestes agressifs envers le personnel ou d’autres patients des institutions qu’il a fréquentées – la condition relative à l’existence d’un risque de réitération en matière d’actes hétéro-agressifs était effectivement réalisée. Une prise en charge de ses troubles s’imposait donc pour tenir compte de ce risque. Il a également été retenu que le traitement devait se dérouler sur plusieurs mois et débuter par une mesure institutionnelle en milieu fermé, F.________ n’ayant jamais réussi à adhérer à un traitement ambulatoire, alors même qu’il s’inscrivait dans un placement à des fins d’assistance. Au vu de ces éléments et dans la mesure où les circonstances de fait ne se sont pas modifiées depuis la notification du jugement du 4 octobre 2023, il y a lieu de rejeter la demande de mise en liberté déposée par F.________ et de prononcer son maintien en détention pour des motifs de sûreté, afin de garantir l’exécution de la mesure et de prévenir du risque de récidive avéré. Il s’ensuit que la détention de F.________ demeure proportionnée à ce jour, celui-ci étant exposé au prononcé définitif d’une mesure dont la durée maximale – prolongeable au demeurant – est de cinq ans (art. 59 al. 4 CP). Il est enfin relevé qu’il appartiendra à l’autorité d’exécution de choisir l’établissement approprié pour l’exercice de la mesure prononcée en application de l’art. 59 CP, lorsque le prononcé de celle-ci sera définitif et exécutoire. En définitive, les conditions pour maintenir F.________ en détention pour des motifs de sûreté demeurent ainsi réalisées, aucune mesure de substitution (art. 237 CPP) n’étant en outre susceptible de présenter de garantie suffisante pour pallier le risque de récidive retenu.</w:t>
      </w:r>
    </w:p>
    <w:p>
      <w:r>
        <w:rPr>
          <w:b/>
        </w:rPr>
        <w:t>E. 3</w:t>
      </w:r>
    </w:p>
    <w:p>
      <w:r>
        <w:t>Au vu de ce qui précède, le maintien en détention de F.________ pour des motifs de sûreté est justifié et sa demande de mise en liberté immédiate, manifestement mal fondée, doit être rejetée sans échange d’écritures (art. 390 al. 2 CPP). Vu l’issue de la cause, les frais du présent prononcé, par 1’320 fr. (art. 20 al. 1 TFIP [Tarif des frais de procédure et indemnités en matière pénale du 28 septembre 2010 ; BLV 312.03.1]),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