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327 vom 5. Juli 2023</w:t>
      </w:r>
    </w:p>
    <w:p>
      <w:r>
        <w:t>VD Tribunal cantonal, 2023-07-05, FR</w:t>
      </w:r>
    </w:p>
    <w:p>
      <w:r>
        <w:rPr>
          <w:b/>
        </w:rPr>
        <w:t xml:space="preserve">Quelle: </w:t>
      </w:r>
      <w:r>
        <w:t>https://mcp.opencaselaw.ch/entscheid/vd_findinfo_Jug___2024___327</w:t>
      </w:r>
    </w:p>
    <w:p>
      <w:r>
        <w:t>FR: VD_FINDINFO Jug / 2024 / 327 du 5 juillet 2023</w:t>
      </w:r>
    </w:p>
    <w:p>
      <w:r>
        <w:t>IT: VD_FINDINFO Jug / 2024 / 327 del 5 luglio 2023</w:t>
      </w:r>
    </w:p>
    <w:p>
      <w:pPr>
        <w:pStyle w:val="Heading2"/>
      </w:pPr>
      <w:r>
        <w:t>Regeste</w:t>
      </w:r>
    </w:p>
    <w:p>
      <w:r>
        <w:t>PORNOGRAPHIE, CONTRAINTE SEXUELLE | 189 al. 1 CP, 197 al. 4 CP, 197 ch. 5 CP, 49 al. 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et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N.________ a requis la production par les médecins ayant suivi C.Q.________ ces dix dernières années de certificats médicaux détaillés concernant la problématique rencontrée par celle-ci durant son adolescence. Il a également requis une expertise de crédibilité de C.Q.________.</w:t>
      </w:r>
    </w:p>
    <w:p>
      <w:r>
        <w:rPr>
          <w:b/>
        </w:rPr>
        <w:t>E. 3.2.1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w:t>
      </w:r>
    </w:p>
    <w:p>
      <w:r>
        <w:rPr>
          <w:b/>
        </w:rPr>
        <w:t>E. 3.2.2</w:t>
      </w:r>
    </w:p>
    <w:p>
      <w:r>
        <w:t>Une expertise de crédibilité doit permettre au juge d’apprécier la valeur des déclarations de l’enfant, en s’assurant que celui-ci n’est pas suggestible, que son comportement trouve son origine dans un abus sexuel et n’a pas une autre cause, qu’il n’a pas subi l’influence de l’un de ses parents et qu’il ne relève pas de la pure fantaisie de l’enfant (TF 6B_118/2022 du 31 octobre 2022 consid. 3.2.2). Pour qu’une telle expertise ait une valeur probante, elle doit répondre aux standards professionnels reconnus par la doctrine et la jurisprudence (ATF 129 I 49 consid. 5 ; ATF 128 I 81 consid. 2).</w:t>
      </w:r>
    </w:p>
    <w:p>
      <w:r>
        <w:rPr>
          <w:b/>
        </w:rPr>
        <w:t>E. 3.3</w:t>
      </w:r>
    </w:p>
    <w:p>
      <w:r>
        <w:t>En l’espèce, la réquisition tendant à la production de certificats médicaux par les médecins ayant suivi C.Q.________ a été rejetée par la Présidente de la Cour de céans et n’a pas été réitérée lors des débats d’appel. Quoi qu’il en soit, il apparaît que les éléments au dossier sont suffisants pour apprécier l’état de santé de C.Q.________ avant les faits ainsi que sa crédibilité, et de trancher entre les versions contradictoires des parties (cf. consid. 4). Pour ce qui est de la réquisition tendant à la mise en œuvre d’une expertise de crédibilité de C.Q.________, on rappellera qu’une telle expertise s’impose surtout en présence de déclarations d’un petit enfant, qui sont fragmentaires ou difficilement interprétables, ainsi que s’il existe des indices sérieux que la personne auditionnée souffre de troubles psychiques ou des éléments concrets faisant penser qu’elle a été influencée par un tiers. Or, on ne se trouve dans aucune de ces hypothèses. En effet, il ne s’agit pas d’examiner la crédibilité d’un enfant ou d’une personne qui souffrirait de troubles l’empêchant de déposer normalement. On ajoutera que C.Q.________ n’a pas dénoté de signes de confusion et a dévoilé rapidement et spontanément les faits, sans qu’il y ait de raison de penser qu’elle ait fait l’objet d’une influence extérieure. Cette réquisition doit dès lors être rejetée.</w:t>
      </w:r>
    </w:p>
    <w:p>
      <w:r>
        <w:rPr>
          <w:b/>
        </w:rPr>
        <w:t>E. 4.1</w:t>
      </w:r>
    </w:p>
    <w:p>
      <w:r>
        <w:t>L’appelant conteste sa condamnation pour contrainte sexuelle. Il reproche tout d’abord aux premiers juges de n’avoir pas procédé à une analyse de la crédibilité des déclarations de C.Q.________ selon la méthode préconisée par le Tribunal fédéral. Il leur fait ensuite grief d’avoir préféré la version des faits de C.Q.________ à la sienne. Il invoque que cette dernière s’est contredite sur des points importants, que son discours était peu détaillé lors de sa première audition, qu’elle a menti durant la procédure, notamment s’agissant du fait d’avoir déjà pratiqué la sodomie avec [...], et que ses déclarations à son amie [...] et à sa sœur [...] sont intervenues après les premiers messages échangés avec l’appelant et après que celui-ci lui ait annoncé qu’il ne souhaitait plus la voir. Il avance que les excuses qu’il a présentées à la victime étaient uniquement un moyen pour lui de se sortir d’une situation qu’il ne comprenait pas. Pour ce qui est de ses propres déclarations, l’appelant soutient qu’elles doivent être analysées au regard de sa personnalité, en particulier de son incapacité à s’expliquer clairement en situation de stress. Pour ce qui est d’une éventuelle attirance pour la sodomie, il soutient que ce n’est pas parce qu’il en a parlé avec son épouse que cela signifierait qu’il serait intéressé par la pratique. Il affirme encore que les ecchymoses présentées par C.Q.________ étaient trop peu spécifiques pour retenir qu’elles corroboreraient la version de celle-ci et rappelle qu’aucune lésion anale n’a pu être constatée.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 e éd., Bâle 2019, n. 34 ad art. 10 CPP et les références citées).</w:t>
      </w:r>
    </w:p>
    <w:p>
      <w:r>
        <w:rPr>
          <w:b/>
        </w:rPr>
        <w:t>E. 4.2.2</w:t>
      </w:r>
    </w:p>
    <w:p>
      <w:r>
        <w:t>L’art. 189 ch. 1 CP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Le viol et la contrainte sexuelle supposent l’emploi d’un moyen de contrainte. Il s’agit notamment de l’usage de la violence. Celle-ci désigne l’emploi volontaire de la force physique sur la personne de la victime dans le but de la faire céder (ATF 122 IV 97 précité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w:t>
      </w:r>
    </w:p>
    <w:p>
      <w:r>
        <w:rPr>
          <w:b/>
        </w:rPr>
        <w:t>E. 4.3</w:t>
      </w:r>
    </w:p>
    <w:p>
      <w:r>
        <w:t>S’agissant de la façon dont doit être analysée la crédibilité de C.Q.________, on rappellera qu’on ne se trouve pas en présence d’un petit enfant, et qu’il n’y a pas d’indices sérieux qu’elle souffrirait de troubles psychiques ou qu’elle aurait pu être influencée par un tiers (cf. consid. 3.3). Il s’agit ici en réalité d’une situation de « parole contre parole ». Dans ce cas, les déclarations de la victime constituent un élément de preuve et le juge doit, dans l’évaluation globale de l’ensemble des éléments probatoires rassemblés au dossier, les apprécier librement. En l’occurrence, la Cour de céans estime que la version de C.Q.________ doit être préférée à celle de l’appelant compte tenu des éléments suivants : - C.Q.________ est crédible dans ses déclarations. Elle s’est expliquée en détail et de manière constante, présentant la même version des faits lors du dépôt de la plainte pénale, devant la police, devant la procureure, devant ses proches, devant les médecins qui l’ont examinée et devant les thérapeutes qui l’ont suivie. Le fait que ses déclarations comportent quelques contradictions ne suffit pas pour douter de sa crédibilité, celles-ci portant sur des détails ou des éléments périphériques et pouvant aisément s’expliquer en raison de l’écoulement du temps. Ses déclarations sont par ailleurs confirmées par d’autres éléments au dossier. On constate également que la plaignante n’a pas cherché à accabler l’appelant en dressant par exemple uniquement une image négative de lui et de toutes les relations qu’ils ont eues. - C.Q.________ a rapporté les faits de façon similaire à plusieurs personnes avant de déposer plainte. Ainsi, son amie [...] a expliqué que la plaignante lui avait envoyé un message audio le lendemain des faits dans lequel elle était en pleurs et lui expliquait qu’elle s’était rendue avec N.________ dans un carnotzet afin d’entretenir une relation sexuelle, que tout s’était bien passé initialement, qu’elle avait ensuite eu des douleurs et lui avait dit d’arrêter, ce qu’il n’avait pas fait, qu’il l’avait retournée, l’avait bloquée avec ses jambes et avait continué (p. 66). La sœur de la victime, [...], a déclaré que celle-ci lui avait raconté ce qui était arrivé le lendemain des faits, qu’elle lui avait rapporté avoir dit non à son partenaire lorsqu’il avait voulu la pénétrer analement, qu’il ne l’avait pas écoutée, qu’elle avait essayé de le repousser tout en pleurant mais n’avait pas réussi à contrer l’acte. [...] a relevé que sa sœur était très mal et pleurait lorsqu’elle lui a rapporté les faits (pp. 76 et 77). [...], collègue de travail de C.Q.________, a rapporté ce qui suit : « Elle m’a donc expliqué que normalement, elle voyait N.________ en tant que plan cul. Il était donc prévu ce soir-là qu’ils couchent ensemble. Ils ont commencé, il l’a retournée brusquement. Elle pensait qu’il allait la prendre en levrette mais ce n’était pas le cas. Il l’a forcée à “ prendre dans les fesses ”. Elle a ajouté qu’il l’avait bloquée et qu’elle ne pouvait plus se défendre. Elle m’a dit qu’il s’était assis sur elle et qu’il l’avait bloquée au niveau du dos avec sa main. […] C.Q.________ m’avait précisé lui avoir dit non mais qu’il s’en était foutu » (p. 89). - C.Q.________ n’avait pas de raison de faire de fausses déclarations à l’encontre de l’appelant. Ce dernier soutient qu’elle aurait pu avoir des sentiments pour lui et ainsi ne pas supporter lorsqu’il lui a annoncé qu’il ne souhaitait plus la voir. Il a toutefois lui-même déclaré qu’il n’existait pas de contentieux entre lui et la plaignante (pp. 27 et 299), que celle-ci n’avait l’air ni triste ni contente lorsqu’il lui avait dit qu’il ne souhaitait plus la voir (p. 300), qu’elle ne lui avait jamais fait de scène de jalousie et qu’elle ne lui avait jamais dit qu’elle avait des sentiments pour lui (jugement entrepris, p. 15). La plaignante a de son côté toujours réfuté avoir souhaité se mettre en couple avec l’appelant ou avoir eu des sentiments pour lui. Elle a déclaré dès le début que l’appelant était uniquement un « plan cul » (p. 7). [...], [...] et [...] ont confirmé que la plaignante n’avait pas de sentiments pour l’appelant et qu’il n’était pour elle qu’un « plan cul » (pp. 69, 77, 79, 89). [...], ami de la plaignante, a pour sa part déclaré qu’il convenait parfaitement à celle-ci d’avoir des relations uniquement sexuelles avec des garçons (p. 144). On rappellera par ailleurs, que la fin de leur « relation » ainsi que le fait que l’appelant soit en couple avec quelqu’un d’autre étaient des éléments connus de la plaignante lors de leur rencontre du 15 mai 2021, on ne voit donc pourquoi ce serait seulement après cette rencontre qu’elle aurait pu décider de faire des fausses accusations à l’encontre de l’appelant. - Les messages échangés entre les intéressés le lendemain des faits confirment la version de C.Q.________. Ainsi, après quelques messages où elle fait comprendre à l’appelant qu’elle n’était pas bien à la suite de la soirée passée ensemble, leur conversation est la suivante : « C.Q.________ : Je pense pas que tu te rende conte dans quel état tu m’as mise la / N.________ : OK dsl / C.Q.________ : T’es pas dsl pcq sinon tu te serais arrêté au moment ou je t’ai dit que je voulais pas / N.________ : Hey je voulais vrm pas te faire de mal c étais pas mon attention tu m en veux ?? / C.Q.________ : Tu te rends compte que je t’ai repoussée plusieurs fois et que je t’ai dit non et que j’ai même commencer à trembler et que tu m’as juste dis de me calmer et tu m’as bloqué par terre sa t’es pas venu à l’esprit d’arrêter ? Je me retenais de pleurer ptn / N.________ : Dsl vrm j étais rond et je savais même pas se que je fesais j aurais même pas du te voir et j ai plier ma caisse en plus. C étais vrm pas voulu. Je te jure / C.Q.________ : Mais Mdr c’est pas une excuse sa même alcoolisé t’as pas a faire sa jamais / […] N.________ : Je sais je suis vrm con bref bonne nuit je voulais juste m excuser ». Les messages ne sont pas ambigus et il en ressort que le prévenu avait parfaitement compris les reproches qui lui étaient adressés par la plaignante et qu’il n’a pas contesté lui avoir imposé un acte auquel elle s’opposait. L’appelant a produit un rapport du 11 janvier 2024 de sa thérapeute, la Dre [...], psychiatre et psychothérapeute (P. 38), dans lequel cette dernière rapporte qu’il aurait tendance à accepter des torts pour éviter les conflits. Il faut toutefois souligner qu’il s’agit d’un fonctionnement que l’appelant a rapporté à la thérapeute et non d’une constatation de celle-ci. Dans la mesure où les messages de la plaignante permettaient aisément de comprendre ce qu’elle lui reprochait, il ne ferait dans tous les cas aucun sens pour l’appelant de simplement s’excuser pour éviter un litige. - Plusieurs proches de C.Q.________ ont constaté sa souffrance et un changement dans son comportement après la soirée du 15 mai 2021. [...] et [...], qu’elle avait rejoints le soir des faits peu de temps après être rentrée à son domicile, ont constaté qu’elle était bizarre et qu’elle ne parlait pas comme d’habitude (pp. 113, 406 et 407). [...] a reconnu avoir écrit à la plaignante sur Snapchat afin de lui demander si quelque chose n’allait pas (p. 113), ce qui vient confirmer une déclaration identique de cette dernière (p. 10). Les parents de C.Q.________ ont constaté que leur fille avait commencé à se scarifier et présentait des tendances suicidaires (p. 20 ; jugement entrepris pp. 10 et 11). [...] a aussi constaté que C.Q.________ n’était « vraiment pas bien » lorsqu’elle lui a parlé des faits et que « elle avait les larmes aux yeux. On voyait qu’elle se retenait pour ne pas pleurer » (p. 90). - [...] (p. 67), [...] (p. 90) et [...], employeur de C.Q.________ (p. 371), ont déclaré que celle-ci n’avait pas une réputation de menteuse. - Les pièces médicales confirment la version de C.Q.________ et son état psychique après les faits. Ainsi, selon un courrier du 24 juin 2021 de [...] et du Dr [...], respectivement psychologue associée et médecin associé auprès du Service universitaire de psychiatrie de l’enfant et de l’adolescent du CHUV (ci-après : SUPEA), la plaignante a été vue en urgence le 19 mai 2021 ; elle a expliqué que, lors d’un rapport sexuel, son partenaire n’avait pas respecté les limites posées malgré le fait qu’elle ait pu les verbaliser ; elle a dit souffrir de troubles du sommeil et de la concentration, d’une baisse de l’appétit liée aussi à des nausées récurrentes, d’une humeur abaissée, d’idées noires, d’une anhédonie, d’une détresse marquée et d’un sentiment de culpabilité ; elle a rapporté avoir des flashs et des souvenirs de l’agression qui survenaient brusquement (pp. 154 s). Il ressort d’un rapport du 17 décembre 2021 de la Dre [...], médecin associé auprès du SUPEA, que la victime a bénéficié d’une prise en charge psychiatrique du 19 mai au 22 septembre 2021, notamment pour des idées noires (p. 422). Dès le 15 septembre 2021, C.Q.________ a été suivie par la psychologue [...], qui a attesté qu’elle souffrait toujours de souvenirs intrusifs fréquents et d’une émotionnalité exacerbée, qu’elle se plaignait toujours de difficultés d’endormissement et de troubles de la concentration (p. 427). En outre, bien que le rapport du 25 août 2024 du Dr [...] et de la Dre [...], respectivement médecin chef et médecin assistante auprès du Centre universitaire romand de médecine légale, arrive à la conclusion que les ecchymoses que présentait la victime lors de son examen du 19 mai 2024 au niveau des bras, jambes et fesses étaient trop peu spécifiques pour se prononcer avec certitude quant au mécanisme à leur origine (p. 150), celles-ci ont été jugées chronologiquement compatibles avec les faits (p. 152). - Les déclarations de l’appelant ont beaucoup varié ou été contredites par des éléments probatoires au dossier : o Lors de sa première audition, le 23 mai 2021, il a caché la nature exacte de ses relations avec C.Q.________. Il a uniquement admis avoir eu une relation sexuelle avec celle-ci trois semaines auparavant, soit antérieure au 15 mai 2021. Il a affirmé ne pas l’avoir vue le jour des faits. Ce n’est que confronté aux accusations de la victime et en particulier aux messages qu’il lui avait envoyé qu’il a commencé à s’expliquer, admettant avoir entretenu trois relations sexuelles avec elle, dont une le 15 mai 2021 (pp. 28 ss). Il a justifié ses mensonges par une crainte de perdre son amie [...] en raison de son infidélité et par le stress de l’audition de police. Les explications de l’appelant ne convainquent pas. Pour ce qui est de sa crainte de perdre son amie, celle-ci a déclaré que leur relation avait commencé à être sérieuse à la fin de l’année 2020 (p. 101), on ne voit donc pas pourquoi il lui était possible de reconnaître avoir eu un rapport sexuel avec la plaignante au début du mois de mai 2021 mais pas celui du 15 mai, si ce n’est que ce dernier ne s’était pas bien passé. S’agissant du stress engendré par son audition, la Dre [...] indique que l’appelant présente un fonctionnement de type hypersensible associé à des angoisses importantes sur la nouveauté, le changement, l’inconnu et la notion de surprise ainsi que sur ce qui n’est pas en adéquation avec ses valeurs internes. Elle rapporte également qu’il aurait tendance à perdre ses moyens dans les situations stressantes. Cependant, une hypersensibilité n’est pas incompatible avec les faits dont l’appelant est accusé. En outre, le fait qu’il puisse perdre ses moyens face à des situations stressantes est une nouvelle fois un élément qui a été rapporté par l’appelant à sa thérapeute et non une constatation de celle-ci. On soulignera à ce sujet qu’il n’y a pas lieu d’accorder beaucoup de crédit à ce que l’appelant rapporte à sa thérapeute puisqu’il semble lui arriver de mentir à celle-ci. En effet, on constate qu’il lui a par exemple indiqué qu’il ne fréquentait plus la personne qui portait des accusations à son encontre depuis qu’il était en couple avec son épouse (P. 38). Il n’apparaît pas non plus porter un regard objectif sur lui-même puisqu’il a listé dans ses forces de caractère l’honnêteté, l’intégrité, la sincérité et la fidélité, alors qu’il a trompé à de plusieurs reprises sa compagne. o Il a déclaré qu’il n’était pas intéressé par la sodomie (p. 36), alors qu’il ressort de l’audition de son épouse qu’au contraire la pénétration anale « l’intriguait » et qu’ils en avaient discuté quatre ou cinq fois, bien avant le 15 mai 2021 (p. 100 et 103). On constate également à la lecture des messages échangés entre les époux les 13 et 27 mars 2021 que c’est l’appelant qui aborde à plusieurs reprises le sujet de la pénétration annale (pp. 266 ss). o Lors de son audition par le Ministère public, il a déclaré avoir discuté avec C.Q.________ de la question de la pénétration anale à une ou deux reprises et qu’elle lui a toujours dit qu’elle ne voulait pas faire cela (p. 304). Pourtant, aux débats de première instance, il a déclaré qu’ils n’avaient jamais parlé de ce qu’ils voulaient ou ne voulaient pas lors de leurs relations sexuelles (jugement entrepris, p. 12). o Il a déclaré pour la première fois, lors des débats de première instance, que les messages échangés avec C.Q.________ ne seraient pas complets et que certains auraient été supprimés (jugement entrepris, p. 14). o Il a déclaré à [...] que la plaignante « était une folle et qu’elle ne voulait pas lui lâcher les baskets » (p. 378), alors que lors de ses auditions il a toujours soutenu que la plaignante était gentille et qu’il n’avait jamais eu de problème avec elle (p. 27, 29, 449). Au vu de ce qui précède, il convient de retenir que les faits se sont bien déroulés tel que C.Q.________ les a rapporté. L’appelant ne conteste pas la qualification juridique de ses actes, il peut être renvoyé à cet égard au jugement entrepris (p. 33).</w:t>
      </w:r>
    </w:p>
    <w:p>
      <w:r>
        <w:rPr>
          <w:b/>
        </w:rPr>
        <w:t>E. 5.1</w:t>
      </w:r>
    </w:p>
    <w:p>
      <w:r>
        <w:t>L’appelant soutient que la somme de 15'000 fr. allouée à C.Q.________ au titre de tort moral est excessivement élevée en comparaison avec les montants alloués par la jurisprudence dans d’autres affaires similaires. Il reproche également aux premiers juges de n’avoir pas tenu compte du fait que la victime présentait des fragilités avant les faits, lesquelles auraient eu un impact sur les souffrances subies.</w:t>
      </w:r>
    </w:p>
    <w:p>
      <w:r>
        <w:rPr>
          <w:b/>
        </w:rPr>
        <w:t>E. 5.2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consid. 2a p. 274). L'examen de décisions cantonales montre que des montants plus importants sont désormais accordés. Depuis 1998, des montants de 15'000 à 20'000 fr. ont régulièrement été octroyés en cas de viol et d'actes d'ordre sexuel, et parfois même des montants plus élevés (TF 6P.1/2007 du 30 mars 2007 consid. 8.1 et les références citées).</w:t>
      </w:r>
    </w:p>
    <w:p>
      <w:r>
        <w:rPr>
          <w:b/>
        </w:rPr>
        <w:t>E. 5.3</w:t>
      </w:r>
    </w:p>
    <w:p>
      <w:r>
        <w:t>En l’espèce, il est vrai que la victime avait déjà rencontré des difficultés et avait bénéficié d’un suivi psychiatrique avant les faits. Ainsi, elle avait été prise en charge par une psychologue du 20 juillet 2017 au 31 juillet 2018 pour une anxiété généralisée, puis du 25 septembre 2018 au 2 décembre 2019 (p. 422). Elle s’était également déjà scarifiée par le passé, selon ses propres déclarations (p. 9). Son père a expliqué qu’elle était assez fragile et avait un grand besoin d’être aimée (p. 20). Il n’en demeure pas moins qu’elle a subi des souffrances en raison des évènements du 15 mai 2021. Ainsi, il résulte des pièces au dossier que C.Q.________ a été vue en urgence le 19 mai 2021, souffrant de troubles du sommeil et de la concentration, d’une baisse de l’appétit liée aussi à des nausées récurrentes, d’une humeur abaissée, d’idées noires, d’une anhédonie, d’une détresse marquée et d’un sentiment de culpabilité ; elle avait également des flashs et des souvenirs de l’agression qui survenaient brusquement (p. 154 s.). Elle a bénéficié d’une prise en charge psychiatrique du 19 mai au 22 septembre 2021 par le SUPEA, notamment pour des idées noires (p. 422), puis a été suivie, dès le 15 septembre 2021 par une nouvelle thérapeute. Celle-ci a confirmé que C.Q.________ souffrait de souvenirs intrusifs fréquents et d’une émotionnalité exacerbée, qu’elle se plaignait toujours de difficultés d’endormissement et de troubles de la concentration (p. 426). Les parents de la victime ont également rapporté les difficultés de leur fille à la suite des faits litigieux, notamment des idées suicidaires et un retour des scarifications, qui n’avaient plus lieu avant les faits. Au regard de ces éléments ainsi que des sommes allouées dans des cas similaires, le montant de 15'000 fr. est approprié et doit être confirmé.</w:t>
      </w:r>
    </w:p>
    <w:p>
      <w:r>
        <w:rPr>
          <w:b/>
        </w:rPr>
        <w:t>E. 6.1</w:t>
      </w:r>
    </w:p>
    <w:p>
      <w:r>
        <w:t>L’appelant, qui plaide à sa condamnation uniquement pour pornographie, requiert que seule une peine pécuniaire soit prononcée à son encontre. La peine doit dans tous les cas être revue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6.3</w:t>
      </w:r>
    </w:p>
    <w:p>
      <w:r>
        <w:t>La culpabilité de l’appelant est lourde. Il a gravement porté atteinte à l’intégrité sexuelle de C.Q.________. Il a profité et trahit la confiance établie entre eux lors de leurs précédentes relations, ce qui a eu un impact négatif important sur la santé mentale de la victime. Il n’a pas prêté le moindre égard à cette dernière, n’a pas tenu compte de son opposition et l’a traitée comme un simple objet. Le seul but de l’appelant était d’assouvir ses propres pulsions sexuelles. On ne constate par ailleurs aucune prise de conscience chez lui, puisqu’il persiste à nier les faits. A décharge, il faut tenir compte de la réputation positive dont il jouit au sein de son entourage. Il y a également lieu de tenir compte de son état d’ébriété au moment des faits. En effet, celui-ci avait passé l’après-midi à une dégustation de vin avant de venir chercher C.Q.________ et cette dernière a déclaré qu’il était fortement enivré, que cela se voyait à sa démarche et à l’odeur d’alcool dans sa voiture (p. 8). Pour des raisons de prévention spéciale et compte tenu de la culpabilité de l’appelant, seule une peine privative de liberté est envisageable. Celle-ci doit être fixée à 15 mois. Les conditions du sursis étant réalisées, l’exécution de la peine sera suspendue et le délai d’épreuve fixé à deux ans. S’agissant de l’infraction de pornographie, la culpabilité de l’appelant peut être qualifiée de faible dans la mesure où les faits sont d’une gravité modérée, qu’ils sont antérieurs au cas 2.1 et que le casier judiciaire de l’appelant était vierge à cette époque. Il convient ainsi de prononcer une peine pécuniaire. Elle sera fixée à 30 jours et la quotité du jour à 30 fr. afin de tenir compte de la situation financière de l’appelant.</w:t>
      </w:r>
    </w:p>
    <w:p>
      <w:r>
        <w:rPr>
          <w:b/>
        </w:rPr>
        <w:t>E. 7</w:t>
      </w:r>
    </w:p>
    <w:p>
      <w:r>
        <w:t>En définitive, l’appel de N.________ doit être très partiellement admis et le jugement entrepris réformé dans le sens des considérants. Me Emmeline Filliez-Bonnard, défenseur d’office de N.________, a produit une liste des opérations faisant état de 29h05 d’activité d’avocat. Les opérations relatives à l’analyse du jugement de première instance et à la rédaction de la déclaration d’appel motivée, totalisant 11h20 de travail, sont excessives. Il en va de même des opérations relatives à la préparation de l’audience d’appel, s’élevant à 5h45. Il sera retenu 5h00 pour l’analyse du jugement de première instance et la rédaction de la déclaration d’appel motivée, et 2h00 pour la préparation de l’audience d’appel. Cela est suffisant au vu de la déclaration d’appel déposée (13 pages) et de la difficulté de la cause, qui ne présente pas de questions d’une grande technicité. Me Filliez-Bonnard était par ailleurs déjà familiarisée avec le dossier, dès lors qu’elle représentait le prévenu lors des débats de première instance. Le poste relatif aux débats d’appel, estimé à 3h00, sera réduit à 1h40 afin de tenir compte de la durée effective de l’audience. Ainsi, pour la période jusqu’au 31 décembre 2023, les honoraires s’élèvent à 1’785 fr., correspondant à 9h55 d’activité d’avocat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35 fr. 70, et la TVA au taux de 7,7 % sur le tout, par 140 fr. 20. Pour la période dès le 1 er janvier 2024, les honoraires s’élèvent à 1’395 fr., correspondant à 7h45 d’activité au tarif horaire de 180 francs. S’y ajoutent les débours forfaitaires de 2 %, par 27 fr. 90, une vacation forfaitaire à 120 fr. (art. 3bis al. 3 RAJ), et la TVA au taux de 8,1 % sur le tout, par 124 fr. 95. L’indemnité allouée en faveur de Me Filliez-Bonnard s’élève ainsi à 3'628 fr. 75 au total. Me Maëlle Le Boudec, conseil juridique gratuit de C.Q.________, a produit une liste des opérations faisant état de 11h45 d’activité d’avocat. Il n’y a pas lieu de s’en écarter, si ce n’est pour réduire à 1h40 le poste relatif à l’audience d’appel, qui avait été estimé à 2h30. Ainsi, pour la période jusqu’au 31 décembre 2023, les honoraires s’élèvent à 63 fr., correspondant à 21 minutes d’activité au tarif horaire de 180 francs. Viennent s’y ajouter les débours forfaitaires à hauteur de 2 %, par 1 fr. 25, et la TVA au taux de 7,7 % sur le tout, par 4 fr. 95. Pour la période dès le 1 er janvier 2024, les honoraires s’élèvent à 1’695 fr., correspondant à 9h25 d’activité au tarif horaire de 180 francs. S’y ajoutent les débours forfaitaires de 2 %, par 33 fr. 90, une vacation forfaitaire à 120 fr., et la TVA au taux de 8,1 % sur le tout, par 149 fr. 75. L’indemnité allouée en faveur de Me Le Boudec s’élève ainsi à 2'067 fr. 85 au total. Les frais de procédure s’élèvent à 8’816 fr. 60. Ils sont constitués de l’émolument d’audience, par 700 fr. (art. 21 al. 2 TFIP), de l’émolument de jugement, par 2’420 fr. (art. 21 al. 1 TFIP), et des indemnités d’office arrêtées ci-dessus. L’appelant n’obtenant gain de cause que de façon très marginale, il convient de lui faire supporter l’intégralité de ces frais (art. 428 al. 1 CPP). L’appelant sera tenu de rembourser à l’Etat de Vaud le montant des indemnités allouées à son défenseur d’office et au conseil juridique gratuit de C.Q.________ dès que sa situation financière le permettra (art. 135 al. 4 CPP). Le dispositif notifié aux parties le14 février 2024 n’étendait pas la clause de remboursement à l’indemnité allouée au conseil juridique gratuit de C.Q.________. Cette omission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