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321 vom 18. August 2023</w:t>
      </w:r>
    </w:p>
    <w:p>
      <w:r>
        <w:t>VD Tribunal cantonal, 2023-08-18, FR</w:t>
      </w:r>
    </w:p>
    <w:p>
      <w:r>
        <w:rPr>
          <w:b/>
        </w:rPr>
        <w:t xml:space="preserve">Quelle: </w:t>
      </w:r>
      <w:r>
        <w:t>https://mcp.opencaselaw.ch/entscheid/vd_findinfo_Jug___2024___321</w:t>
      </w:r>
    </w:p>
    <w:p>
      <w:r>
        <w:t>FR: VD_FINDINFO Jug / 2024 / 321 du 18 août 2023</w:t>
      </w:r>
    </w:p>
    <w:p>
      <w:r>
        <w:t>IT: VD_FINDINFO Jug / 2024 / 321 del 18 agosto 2023</w:t>
      </w:r>
    </w:p>
    <w:p>
      <w:pPr>
        <w:pStyle w:val="Heading2"/>
      </w:pPr>
      <w:r>
        <w:t>Regeste</w:t>
      </w:r>
    </w:p>
    <w:p>
      <w:r>
        <w:t>CONTRAINTE SEXUELLE, ACTE D'ORDRE SEXUEL AVEC UN ENFANT, TORT MORAL | 187 ch. 1 CP, 189 al. 1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381 al. 1 et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I.________ et G.T.________ reprochent aux premiers juges d’avoir mis F.________ au bénéfice du doute faute d’éléments probants jugés suffisants pour établir sa culpabilité. Elles estiment que les juges n’ont pas suffisamment pris en compte les éléments probatoires au dossier. Le Ministère public fait également grief aux premiers juges d’avoir libéré F.________ au bénéfice du doute. Il estime que ceux-ci ne pouvaient pas se contenter d’analyser les différents cas un à un. Ils auraient au contraire dû les examiner ensemble, ce qui les aurait amenés à constater qu’il existait un faisceau d’indices suffisant pour établir la culpabilité du prévenu.</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 e éd., Bâle 2019, n. 34 ad art. 10 CPP et les références citées).</w:t>
      </w:r>
    </w:p>
    <w:p>
      <w:r>
        <w:rPr>
          <w:b/>
        </w:rPr>
        <w:t>E. 3.3</w:t>
      </w:r>
    </w:p>
    <w:p>
      <w:r>
        <w:t>En l’espèce, les premiers juges ont acquitté F.________ au bénéfice du doute pour les motifs suivants : - R.________ n’a pas voulu s’exprimer sur les faits ; - G.T.________ a été jugée non crédible aux dires d’experts (P. 103, p. 31) ; - Même si I.________ avait été jugée crédible par expertise (P. 103, p. 30), ses déclarations n’étaient pas convaincantes. Pour le cas 2, elle n’avait rien manifesté alors que sa mère se trouvait à proximité durant les attouchements et n’avait ensuite pas rechigné à aller chez le prévenu juste après les faits. Pour le cas 3, durant les 21 minutes où il était chez lui, le prévenu avait été trop occupé par les diverses tâches qu’il décrivait et qui n’avaient pas été contestées, pour avoir le temps de commettre les attouchements qui lui étaient reprochés. B.T.________ n’avait en outre rien constaté au retour de sa fille, alors que celle-ci disait qu’elle était incapable de marcher et de manger et était restée au lit. S’agissant du cas 4, les dires de la victime étaient contredits par les témoignages des filles du prévenu. Dans le cas 5, la victime n’avait rien manifesté, alors que sa mère était en contact visuel et auditif avec elle ; - Le fait que le prévenu ait consulté des sites pornographiques relativement longtemps avant les faits et sur deux très brèves périodes ne suffisait pas à l’incriminer ; - Le fait qu’il ait fait des recherches au sujet de l’examen de la zone anale sur une mineure et l’évaluation de la zone anale en cas de délit sexuel selon la médecine clinique forensique peu de temps après le dévoilement des faits ne constituait pas un indice suffisant, dans la mesure où ces recherches étaient peut-être le fruit d’une curiosité malsaine, même si les explications évasives du prévenu et de sa compagne à ce sujet ne convainquaient guère. Toutefois, contrairement à ce qu’ont considéré les premiers juges, force est de constater que les preuves à l’encontre d’F.________ sont accablantes : - Ses explications peu convaincantes et fluctuantes s’agissant du cas 3. Il a tout d’abord déclaré être resté seulement 5 minutes chez lui pour récupérer un matelas et une perceuse, I.________ demeurant dans la voiture (PV aud. 5, R. 10). Après avoir été confronté au fait que l’enquête avait permis d’établir qu’il était en réalité resté 21 minutes chez lui (P. 53/1, p. 5), il n’a su expliquer de façon crédible pour quelle raison il lui aurait fallu autant de temps pour récupérer ces deux objets. Il s’est contenté de spéculer qu’il était possible qu’il soit resté un moment dans la voiture afin de se connecter à internet, qu’il soit allé promener son chien ou encore qu’il soit allé aux toilettes (PV aud. 12, R. 15 ; jugement entrepris, p.9). Il n’avait cependant pas mentionné ces éléments lors de sa première audition, qui avait pourtant eu lieu seulement deux mois après les faits. En outre, ses explications pour justifier que, selon sa version, I.________ serait restée dans la voiture durant les 21 minutes passées à son domicile, ne sont pas crédibles. En effet, ce n’est que lors de l’audience de première instance qu’il a soutenu qu’elle serait restée à regarder des vidéos sur l’écran se trouvant dans la voiture (jugement entrepris, p. 9), alors qu’il n’en avait pas parlé lors de son audition par la police (PV aud. 12, R. 15). Le fait que la victime ou le Ministère public n’ait pas « contesté » les allégations – invérifiables – du prévenu ne peut être considéré comme une preuve de leur réalité. En 21 minutes, en plus de récupérer un matelas et une perceuse, l’intéressé avait largement le temps de commettre les actes dont il est accusé ; - Sa consultation sur le site pornographique « [...] » de vidéos intitulées « un oncle paraguayen viole une nièce paraguayenne de 18 ans à son retour de l’école » et « une écolière maltraitée par son oncle » (P. 53/1, p. 5). Le prévenu a une nouvelle fois proposé des explications peu crédibles au sujet de ces consultations. Lors de son audition par la police, il a prétendu avoir vu sur les réseaux sociaux un fait divers sur un oncle paraguayen qui avait violé sa nièce et avoir effectué une recherche avec sa compagne, qui voulait visionner la vidéo qui s’y rapportait (PV aud. 12, R. 10). A.T.________ a cependant contredit cette version lors de l’audience de première instance, déclarant avoir uniquement vu le fait divers et n’avoir pas regardé de vidéo (jugement entrepris, p. 29). Lors de cette même audience, le prévenu a pour sa part tout d’abord tenté de soutenir que la vidéo en question n’avait pas de caractère pornographique – quand bien même elle avait été consultée sur un site pornographique – avant d’être contraint de reconnaître le contraire (jugement entrepris, p. 36) ; - Ses recherches sur Google et sur le site pornographique « [...] » avec notamment les mots clés « viol », « ne veut pas mais ensuite ça lui plaît », « elle ne veut pas mais je l’ai baisée », « adolescente brûlante (chaude) » (P. 53/1, p. 5). Ces recherches résonnent avec les faits dont le prévenu est accusé, notamment avec les déclarations d’I.________ s’agissant du cas 2, puisque celle-ci a déclaré que le prévenu lui avait dit qu’il savait qu’elle aimait ce qu’il faisait. Au demeurant, le prévenu a persisté à contester, y compris lors des débats d’appel (cf. p. 3), avoir tapé les mots clés en question et a maintenu qu’il s’était contenté de cliquer sur des vidéos, malgré les extractions de son matériel informatique qui prouvent que c’est bien lui qui a inscrit ces mots dans le moteur de recherche ; - Sa recherche sur Google comprenant les mots clés « examen de la zone anale d’une mineure » ainsi que la consultation d’une page intitulée « Evaluation de la région anale dans les délits sexuels en médecine légale clinique ». Cette recherche a eu lieu le 9 avril 2020, soit un jour après que le prévenu et toute la famille se sont présentés au poste de police (P. 53/1, p. 6). Si une telle recherche peut s’expliquer chez un prévenu innocent qui espère une preuve exculpatoire, ce sont les explications du prévenu qui dérangent ici. En effet, celui-ci a tout d’abord tenté de dire que la recherche le concernait parce qu’il était allergique au papier toilette (PV aud. 12, R. 12), avant de dire à l’expert psychiatre qu’il avait confondu avec une autre recherche, celle-ci ayant été initiée par sa compagne (P. 61, p. 6) ; - Les déclarations ambiguës de R.________. Celle-ci, qui savait que son oncle était mis en cause pour des infractions contre l’intégrité sexuelle à l’encontre de ses cousines, n’a pas déclaré que ce dernier n’avait jamais adopté de comportement inapproprié à son égard. Au contraire, elle s’est contentée de dire qu’elle refusait de parler et qu’elle souhaitait « garder cela pour [elle] ». Les éléments listés ci-dessus viennent confirmer les déclarations d’I.________, dont le discours a été jugé crédible par les expertes. Cela vaut également pour les actes subis par G.T.________, puisqu’elle y a assisté, de sorte que le fait que l’expertise de crédibilité n’ait pas jugé le discours de cette dernière crédible n’est pas déterminant. On précisera ce qui suit s’agissant de la crédibilité des déclarations d’I.________ : - Il n’y avait aucun litige intrafamilial qui aurait pu expliquer qu’elle fasse de fausses accusations à l’encontre de son oncle ; - Elle n’avait aucune raison d’en vouloir au prévenu ; - Rien ne permet de penser qu’elle pourrait fabuler, soit pour se faire remarquer, soit parce qu’elle aurait un rapport à la réalité altéré, par exemple influencé par ce qu’elle a vu sur Netflix, comme cela a été soutenu par le prévenu ; - Elle présente 3 des 4 vécus prévalents observés chez les enfants abusés (P. 103, p. 34) ; - Ce n’est qu’après avoir vu le prévenu s’en prendre à sa sœur qu’I.________ a choisi de rapporter ses agissements, ce qui renforce la crédibilité des déclarations ; - Elle a donné des détails difficiles à inventer, comme par exemple le fait que le prévenu lui aurait dit « je sais que tu aimes ça » ou qu’elle devait se laver car sa mère avait « du flair ». On ajoutera que l’absence de réaction d’I.________ ou de signes de malaise après les actes subis n’est pas une preuve que ces actes n’auraient pas eu lieu. En effet, il est très courant pour les victimes d’infractions à caractère sexuel, en particulier les enfants, de ne pas réagir ou montrer de signes de traumatisme juste après les faits en raison du choc provoqué par les actes qu’elles ont subi. Pour le cas 4, le fait que les filles du prévenu, qui dormaient avec I.________, n’aient rien vu n’est pas non plus une preuve que les actes n’ont pas eu lieu. Pour le cas 5, on rappellera que B.T.________ ne pouvait voir qu’une partie du bureau et de la chaise sur laquelle était assise I.________, et qu’elle était distraite car en pleine discussion avec A.T.________ (PV aud. 1, R. 6). Le fait qu’elle n’ait rien remarqué n’empêche ainsi pas que le prévenu ait commis les attouchements dont il est accusé, qui étaient des gestes furtifs. C’est à juste titre que le témoignage d’A.T.________ a été écarté par les premiers juges, celui-ci s’étant avéré trop précis pour être totalement crédible. Au vu de ce qui précède, s’agissant des cas 2 à 5, il existe bien un faisceau d’indices établissant la culpabilité d’F.________. Pour ce qui est du cas 1, bien que les déclarations de R.________ questionnent, celle-ci ne met pas clairement en cause le prévenu et ne confirme pas les actes rapportés par I.________. Les déclarations de cette dernière n’étant pour le surplus pas concluantes (PV aud. 3, p. 10), il convient de libérer F.________ de ces faits au bénéfice du doute.</w:t>
      </w:r>
    </w:p>
    <w:p>
      <w:r>
        <w:rPr>
          <w:b/>
        </w:rPr>
        <w:t>E. 4.1</w:t>
      </w:r>
    </w:p>
    <w:p>
      <w:r>
        <w:t>I.________ et G.T.________ demandent la condamnation d’F.________ pour tentative d’actes d’ordre sexuel avec des enfants, actes d’ordre sexuel avec des enfants et contrainte sexuelle. Le Ministère public demande la condamnation du prévenu pour actes d’ordre sexuel avec des enfants et tentative d’actes d’ordre sexuel avec des enfants, mais ne retient pas la contrainte sexuelle. Il ne requiert pas la condamnation du prévenu pour contrainte sexuelle, proposée dans l’acte d’accusation, ni pour actes d’ordre sexuel commis sur une personne incapable de discernement ou de résistance, infraction pour laquelle une aggravation de l’acte d’accusation avait été demandée en première instance.</w:t>
      </w:r>
    </w:p>
    <w:p>
      <w:r>
        <w:rPr>
          <w:b/>
        </w:rPr>
        <w:t>E. 4.2.1</w:t>
      </w:r>
    </w:p>
    <w:p>
      <w:r>
        <w:t>Aux termes de l’art. 187 ch. 1 CP (Code pénal suisse du 21 décembre 1937 ; RS 311.0), se rend coupable d’actes d’ordre sexuel avec des enfants celui qui aura commis un acte d’ordre sexuel sur un enfant de moins de 16 ans, celui qui aura entraîné un enfant de cet âge à commettre un acte d’ordre sexuel ou celui qui aura mêlé un enfant de cet âge à un acte d’ordre sexuel.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(TF 6B_866/2022 du 5 juin 2023 consid. 4.1.2 ; TF 6B_935/2020 du 25 février 2021 consid. 3.1). Des baisers insistants sur la bouche, de même qu'une caresse insistante du sexe, des fesses ou des seins, même par-dessus les habits, constituent un acte d'ordre sexuel (TF 6B_866/2022 précité consid. 4.1.2 ; TF 6B_859/2022 du 6 mars 2023 consid. 1.3).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6B_1414/2020 du11 août 2021 consid. 2.2 ; TF 6B_231/2020 du 25 mai 2020 consid. 3.1).</w:t>
      </w:r>
    </w:p>
    <w:p>
      <w:r>
        <w:rPr>
          <w:b/>
        </w:rPr>
        <w:t>E. 4.2.2</w:t>
      </w:r>
    </w:p>
    <w:p>
      <w:r>
        <w:t>L’art. 189 ch. 1 CP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w:t>
      </w:r>
    </w:p>
    <w:p>
      <w:r>
        <w:rPr>
          <w:b/>
        </w:rPr>
        <w:t>E. 4.2.3</w:t>
      </w:r>
    </w:p>
    <w:p>
      <w:r>
        <w:t>Aux termes de l'art. 191 CP, se rend coupable d’actes sexuels commis sur une personne incapable de discernement ou de résistance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 TF 6B_1330/2022 du 3 juillet 2023 consid 3.1.3). Le Tribunal fédéral a considéré qu’un enfant âgé de 4 ans et 11 mois est incapable de discernement en raison de son très jeune âge car il ne réalise manifestement pas la signification des actes dont il est victime (ATF 120 IV 193 consid. 2d, JdT 1996 IV 42). Lorsque des actes d'ordre sexuel sont commis sur un enfant qui, en raison de son âge, est incapable de discernement, on doit admettre qu'il y a concours idéal entre les art. 187 et 191 CP puisque les dispositions protègent des biens juridiques différents (ATF 120 IV 194 consid. 2b, JdT 1996 IV 42 ; Dupuis et al., op. cit., n. 26 ad art. 191 CP et les références citées).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6B_69/2018 du 11 juin 2018 consid. 4.1 et les références citées).</w:t>
      </w:r>
    </w:p>
    <w:p>
      <w:r>
        <w:rPr>
          <w:b/>
        </w:rPr>
        <w:t>E. 4.2.4</w:t>
      </w:r>
    </w:p>
    <w:p>
      <w:r>
        <w:t>Il y a tentative (art. 22 al. 1 CP) lorsque l'auteur a réalisé tous les éléments subjectifs de l'infraction et manifesté sa décision de la commettre, alors que les éléments objectifs font, en tout ou en partie, défaut (ATF 140 IV 150 consid. 3.4, JdT 2015 IV 114 ; TF 6b_926/2022 du 8 juin 2023 consid. 1.2.2).</w:t>
      </w:r>
    </w:p>
    <w:p>
      <w:r>
        <w:rPr>
          <w:b/>
        </w:rPr>
        <w:t>E. 4.3</w:t>
      </w:r>
    </w:p>
    <w:p>
      <w:r>
        <w:t>En l’espèce, le fait de pénétrer analement, de caresser les fesses ou le sexe, que ce soit par-dessus ou par-dessous les habits, ou encore de lécher le sexe d’une victime sont à l’évidence des actes connotés sexuellement. Le prévenu a agi intentionnellement et était conscient du caractère sexuel de ses gestes. Il s’est ainsi rendu coupable d’actes d’ordre sexuel avec des enfants dans les cas 2, 3, 4 et 5, et de tentative d’actes d’ordre sexuel avec des enfants dans le cas 5. Pour le cas 3, il convient de souligner que le prévenu et sa famille étaient très proches de la famille d’I.________ et de G.T.________. En l’absence de leur père dans leur vie, il représentait pour les fillettes une figure d’autorité masculine et était une personne de confiance. Ainsi, I.________, âgée de seulement 10 ans au moment des faits, ne faisait pas le poids face au prévenu lorsqu’elle s’est retrouvée seule avec lui à son domicile. Elle n’a pas pu s’opposer à sa volonté. Elle a d’ailleurs déclaré avoir eu peur (PV aud. 3, p. 3). Il s’agit bien d’un cas de violences structurelles. Le prévenu était conscient du rapport de force qui existait avec sa victime – il s’était au demeurant arrangé pour se retrouver seul avec elle – ainsi que de l’absence de consentement de celle-ci. Il doit ainsi également être condamné pour contrainte sexuelle, en concours avec les actes d’ordre sexuel avec des enfants.</w:t>
      </w:r>
    </w:p>
    <w:p>
      <w:r>
        <w:rPr>
          <w:b/>
        </w:rPr>
        <w:t>E. 5</w:t>
      </w:r>
    </w:p>
    <w:p>
      <w:r>
        <w:t>juin 2023 consid. 2.2.3 et les réf.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167 consid. 3.1 et les références citées ; TF 6B_1499/2021 du 15 août 2022 consid. 1.2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déterminantes(ATF 148 IV 234 consid. 3.3 ; TF 6B_127/2023 précité consid. 2.2.3)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 TF 6B_146/2020 précité). Selon les circonstances, une menace ou l'ordre explicite à l'enfant de se taire n'est pas nécessaire pour admettre l'usage de la contrainte (consid. 3.6.1). Lorsque des actes d’ordre sexuel avec un enfant constituent également l’infraction de contrainte sexuelle (art. 189 CP) ou de viol (art. 190 CP), il y a concours idéal entre ces dispositions en raison de la diversité des biens juridiques protégés (ATF 128 IV 97 consid. 2b, JdT 2004 IV 123 ; Dupuis et al., Petit Commentaire du Code pénal, 2 e éd., Bâle 2017, n. 60 ad art. 187 CP)</w:t>
      </w:r>
    </w:p>
    <w:p>
      <w:r>
        <w:rPr>
          <w:b/>
        </w:rPr>
        <w:t>E. 5.1</w:t>
      </w:r>
    </w:p>
    <w:p>
      <w:r>
        <w:t>Le Ministère public requiert que le prévenu soit condamné à une peine privative de liberté de quatre ans.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5.2.3</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11 décembre 2023/413 consid. 10.2.2 et les références citées).</w:t>
      </w:r>
    </w:p>
    <w:p>
      <w:r>
        <w:rPr>
          <w:b/>
        </w:rPr>
        <w:t>E. 5.3</w:t>
      </w:r>
    </w:p>
    <w:p>
      <w:r>
        <w:t>La responsabilité du prévenu est entière (P. 61). Il s’en est pris à ses nièces, d’âges proches de ceux de ses propres filles. Il n’a eu aucune prise de conscience. Sa culpabilité est donc très lourde. La pénétration anale qu’il a fait subir à I.________ est gravissime. La contrainte sexuelle est l’infraction la plus grave et doit être sanctionnée par une peine privative de liberté de 3 ans. Il conviendra d’augmenter cette peine de 1 an pour les actes d’ordre sexuel sur des enfants et pour la tentative d’actes d’ordre sexuel sur des enfants. C’est donc une peine privative de liberté de 4 ans qui doit être prononcée à l’encontre d’F.________. Conformément à l’art. 51 CP, il conviendra de déduire les 53 jours de détention provisoire subie par F.________ de la peine privative de liberté prononcée. Seront également déduits 6 jours supplémentaires à titre de réparation du tort moral pour les 12 jours de détention dans des conditions illicites subis, étant rappelé que les deux premiers jours passés en zone carcérale ne comptent pas comme détention illicite (art. 224 al. 2 CPP).</w:t>
      </w:r>
    </w:p>
    <w:p>
      <w:r>
        <w:rPr>
          <w:b/>
        </w:rPr>
        <w:t>E. 6.1</w:t>
      </w:r>
    </w:p>
    <w:p>
      <w:r>
        <w:t>I.________ et G.T.________ demandent que le prévenu soit reconnu débiteur de la première d’un montant de 15'000 fr. avec intérêts à 5 % l’an dès le 5 mars 2020 au titre du tort moral en raison du traumatisme important subi.</w:t>
      </w:r>
    </w:p>
    <w:p>
      <w:r>
        <w:rPr>
          <w:b/>
        </w:rPr>
        <w:t>E. 6.2</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w:t>
      </w:r>
    </w:p>
    <w:p>
      <w:r>
        <w:rPr>
          <w:b/>
        </w:rPr>
        <w:t>E. 6.3</w:t>
      </w:r>
    </w:p>
    <w:p>
      <w:r>
        <w:t>En l’espèce, au vu de la gravité des atteintes subies et des signes de traumatisme présentés par I.________, l’allocation d’un montant de 15'000 fr. au titre de tort moral est approprié. L’acte le plus grave ayant eu lieu le 2 février 2020, il peut être accordé de faire partir les intérêts moratoires le 5 mars 2020. I.________ est renvoyée à agir par la voie civile pour le surplus.</w:t>
      </w:r>
    </w:p>
    <w:p>
      <w:r>
        <w:rPr>
          <w:b/>
        </w:rPr>
        <w:t>E. 7.1</w:t>
      </w:r>
    </w:p>
    <w:p>
      <w:r>
        <w:t>I.________ et G.T.________ demandent que les frais de première instance, y compris l’indemnité allouée à leur conseil, soient mis à la charge du prévenu.</w:t>
      </w:r>
    </w:p>
    <w:p>
      <w:r>
        <w:rPr>
          <w:b/>
        </w:rPr>
        <w:t>E. 7.2</w:t>
      </w:r>
    </w:p>
    <w:p>
      <w:r>
        <w:t>Conformément à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(art. 426 al. 1, 1 ère phrase CPP), car il a occasionné, par son comportement, l'ouverture et la mise en œuvre de l'enquête pénale (ATF 138 IV 248 consid. 4.4.1 p. 254 ; TF 6B_832/2020 du 22 février 2021 consid. 4.1).</w:t>
      </w:r>
    </w:p>
    <w:p>
      <w:r>
        <w:rPr>
          <w:b/>
        </w:rPr>
        <w:t>E. 7.3</w:t>
      </w:r>
    </w:p>
    <w:p>
      <w:r>
        <w:t>Le prévenu étant condamné, les frais de la procédure de première instance, s’élevant à 59'106 fr. 75 hors frais de traduction, doivent être mis à sa charge. Ces frais comprennent l’indemnité allouée au conseil juridique gratuit d’I.________ et G.T.________ (cf. art. 422 al. 2 let. a CPP). Le dispositif notifié aux parties le 18 janvier 2024 contenait une erreur dans le calcul des frais de première instance, la facture de l’experte auditionnée durant les débats, transmise le 21 octobre 2023, n’ayant pas été prise en compte. Cette erreur sera rectifiée d’office (art. 83 al. 1 CPP).</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r>
        <w:rPr>
          <w:b/>
        </w:rPr>
        <w:t>E. 8.1</w:t>
      </w:r>
    </w:p>
    <w:p>
      <w:r>
        <w:t>Le Ministère public requiert qu’il soit renoncé à l’expulsion du prévenu.</w:t>
      </w:r>
    </w:p>
    <w:p>
      <w:r>
        <w:rPr>
          <w:b/>
        </w:rPr>
        <w:t>E. 8.2</w:t>
      </w:r>
    </w:p>
    <w:p>
      <w:r>
        <w:t>En application de l’art. 66a al. 1 let. h aCP, le juge expulse de Suisse l’étranger qui est condamné notamment pour actes d’ordre sexuel avec des enfants (art. 187, ch. 1) et contrainte sexuelle (art. 189),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w:t>
      </w:r>
    </w:p>
    <w:p>
      <w:r>
        <w:rPr>
          <w:b/>
        </w:rPr>
        <w:t>E. 8.3</w:t>
      </w:r>
    </w:p>
    <w:p>
      <w:r>
        <w:t>En l’espèce, F.________ est en Suisse depuis l’âge de 12 ou 13 ans, il a obtenu un CFC en Suisse et dispose d’un emploi stable. Il a deux filles âgées de 12 et 14 ans, avec lesquelles il vit, ainsi qu’avec sa compagne et mère des enfants, A.T.________. Il n’y a pas de soupçons de comportements inapproprié du prévenu à l’encontre de ses filles. La famille pourrait difficilement s’établir dans un autre pays, le prévenu ayant passé l’intégralité de sa vie d’adulte en Suisse. Le risque de réitération d’actes de violence sexuelle a été qualifié de faible par les experts (P. 61, p. 16). Dans ces circonstances, l’intérêt privé du prévenu à pouvoir demeurer en Suisse l’emporte sur l’intérêt public à son expulsion. Il sera donc renoncé à prononcer son expulsion.</w:t>
      </w:r>
    </w:p>
    <w:p>
      <w:r>
        <w:rPr>
          <w:b/>
        </w:rPr>
        <w:t>E. 9</w:t>
      </w:r>
    </w:p>
    <w:p>
      <w:r>
        <w:t>Le dispositif notifié aux parties le 18 janvier 2024 ne reprenait pas les chiffres V et VI du jugement entrepris, qui n’ont pas subi de modifications. Cette omission sera rectifiée d’office (art. 83 al. 1 CPP).</w:t>
      </w:r>
    </w:p>
    <w:p>
      <w:r>
        <w:rPr>
          <w:b/>
        </w:rPr>
        <w:t>E. 10</w:t>
      </w:r>
    </w:p>
    <w:p>
      <w:r>
        <w:t>En définitive, les appels d’I.________ et G.T.________, d’une part, et du Ministère public, d’autre part, doivent être admis et le jugement entrepris réformé dans le sens des considérants. Me Coralie Devaud, conseil juridique gratuit d’I.________ et G.T.________, a produit une liste des opérations faisant état de 11h45 d’activité d’avocat. Il n’y a pas lieu de s’en écarter, si ce n’est pour réduire à 1h15 le poste relatif à l’audience d’appel, qui avait été estimé à 2 heures. Ainsi, pour la période jusqu’au 31 décembre 2023, les honoraires s’élèvent à 1’017 fr., correspondant à 5h39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20 fr. 35, et la TVA au taux de 7,7 % sur le tout, par 79 fr. 90. Pour la période dès le 1 er janvier 2024, les honoraires s’élèvent à 963 fr., correspondant à 5h21 d’activité au tarif horaire de 180 francs. S’y ajoutent les débours forfaitaires de 2 %, par 19 fr. 25, une vacation forfaitaire à 120 fr. (art. 3bis al. 3 RAJ), et la TVA au taux de 8,1 % sur le tout, par 89 fr. 30. L’indemnité s’élève ainsi à 2'308 fr. 75 au total. Les frais de la procédure d’appel s’élèvent à 5'758 fr. 75. Ils sont constitués de l’émolument d’audience, par 700 fr. (art. 21 al. 2 TFIP), de l’émolument de jugement, par 2’750 fr. (art. 21 al. 1 TFIP) et de l’indemnité d’office arrêtée ci-dessus. F.________ succombant pour les deux appels, il supportera l’intégralité de ces frais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