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311 vom 29. November 2023</w:t>
      </w:r>
    </w:p>
    <w:p>
      <w:r>
        <w:t>VD Tribunal cantonal, 2023-11-29, FR</w:t>
      </w:r>
    </w:p>
    <w:p>
      <w:r>
        <w:rPr>
          <w:b/>
        </w:rPr>
        <w:t xml:space="preserve">Quelle: </w:t>
      </w:r>
      <w:r>
        <w:t>https://mcp.opencaselaw.ch/entscheid/vd_findinfo_Jug___2024___311</w:t>
      </w:r>
    </w:p>
    <w:p>
      <w:r>
        <w:t>FR: VD_FINDINFO Jug / 2024 / 311 du 29 novembre 2023</w:t>
      </w:r>
    </w:p>
    <w:p>
      <w:r>
        <w:t>IT: VD_FINDINFO Jug / 2024 / 311 del 29 novembre 2023</w:t>
      </w:r>
    </w:p>
    <w:p>
      <w:pPr>
        <w:pStyle w:val="Heading2"/>
      </w:pPr>
      <w:r>
        <w:t>Regeste</w:t>
      </w:r>
    </w:p>
    <w:p>
      <w:r>
        <w:t>PRÉSOMPTION D'INNOCENCE, APPRÉCIATION DES PREUVES, VIOLATION DES RÈGLES DE LA CIRCULATION, EXCÈS DE VITESSE | 106 CP, 34 CP, 42 al. 1 CP, 42 al. 4 CP, 44 al. 1 CP, 47 CP, 90 al. 2 LCR, 10 CPP (CH), 398 al. 3 let. a CPP (CH), 398 al. 3 let. b CPP (CH)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D.________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w:t>
      </w:r>
    </w:p>
    <w:p>
      <w:r>
        <w:rPr>
          <w:b/>
        </w:rPr>
        <w:t>E. 2.3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6B_490/2023 précité consid. 2.1 ; TF 6B_912/2022 du 7 août 2023 consid. 3.1.3).</w:t>
      </w:r>
    </w:p>
    <w:p>
      <w:r>
        <w:rPr>
          <w:b/>
        </w:rPr>
        <w:t>E. 3</w:t>
      </w:r>
    </w:p>
    <w:p>
      <w:r>
        <w:t>Par pli du 1 er décembre 2022 adressé au Ministère public, la police, par l'intermédiaire de Mme [...], a produit un certain nombre des documents requis par l'autorité, notamment le procès-verbal des mesures de vitesse (dossier, P15/1 et 15/2).</w:t>
      </w:r>
    </w:p>
    <w:p>
      <w:r>
        <w:rPr>
          <w:b/>
        </w:rPr>
        <w:t>E. 3.1</w:t>
      </w:r>
    </w:p>
    <w:p>
      <w:r>
        <w:t>L’appelant se plaint d’une constatation erronée et incomplète des faits et demande la modification et le complètement de l’état de fait du jugement sur de nombreux points concernant les difficultés à obtenir – de l’autorité de poursuite pénale, respectivement de la police – les informations en lien avec le radar et les erreurs contenues dans celles-ci. Il soutient que la police a admis avoir commis une erreur dans le traitement des données en lien avec l’étalonnage du radar et que les éléments qu’il met en évidence jettent le discrédit sur la mesure de la vitesse en cause et mettent en cause sa fiabilité. Il fait valoir que la production, par la police, des documents et des informations demandés a été chaotique et en proie à de nombreux atermoiements, que les éléments communiqués étaient incomplets ou erronés, que la police a en particulier tardé à produire le mode d’emploi du radar, lequel est un élément essentiel à sa défense et que le jugement ne mentionne pas la réticence de la police à produire les documents nécessaires et les erreurs commises par celle-ci. Concrètement, il reproche au premier juge de ne pas avoir fait état des éléments suivants : « 1. Par pli du soussigné du 15 novembre 2022, l'appelant a requis que soient ordonnées les mesures d'instructions usuelles en matière de mesure de la vitesse, soit la production en mains de la gendarmerie : - Mode d'emploi du radar ; - Plan à l'échelle attestant du positionnement et de l'installation du radar ; - Photographies de calibrage sur les lieux de contrôle du radar de l'installation ; - Listing des infractions constatées ; - Attestation de l'agent ayant procédé au contrôle ; (dossier, P13) 2. Par pli du 18 novembre 2022 adressé à la Police, et donnant suite aux réquisitions de l'appelant, le Ministère public a ordonné à cette dernière de : - Produire le procès-verbal de mesure du radar en question contenant notamment les données suivantes : - la date et l'heure de la mise en service ; - la désignation exacte du lieu du contrôle, avec direction de la mesure, cas échéant au moyen d'un plan ; - la désignation du système de mesure, avec le numéro METAS ; - la confirmation du contrôle des résultats positifs du test de fonctionnement, - les paramètres principaux (par ex. la distance entre les capteurs, l'intervalle entre deux images, la distance fixe, la limite de vitesse variable ou fixe) ; - la personne responsable du contrôle (nom ou signature lisible) ; - Produire le carnet de bord du radar en question ; - Produire le certificat de vérification du radar en question ; - Produire le certificat d'homologation de l'appareil de mesure concerné ; - Produire tous les documents visant à prouver que le radar a été étalonné conformément aux dispositions légales en vigueur ; - Produire une expertise effective du radar utilisé par le METAS pour contrôler son bon fonctionnement le jour des faits ; - Produire l'attestation ou le diplôme d'opérateur radar décernés aux agents de l'Office de la circulation et du stationnement ayant participé à la mesure de la vitesse en question, aux analyses relatifs, ainsi qu'à l'établissement du procès-verbal de mesure de vitesse ; (dossier, P14)</w:t>
      </w:r>
    </w:p>
    <w:p>
      <w:r>
        <w:rPr>
          <w:b/>
        </w:rPr>
        <w:t>E. 3.2</w:t>
      </w:r>
    </w:p>
    <w:p>
      <w:r>
        <w:t>Le fait que l’appelant ait sollicité des mesures d’instruction afin d’établir l’absence de fiabilité de la mesure de la vitesse opérée par la police le 7 mars 2022 ne constitue pas un fait à proprement parler et n’a pas à être mentionné expressément dans l’état de fait du jugement, puisque cela concerne l’appréciation des preuves à laquelle la Cour de céans procèdera ci-après (cf. ch. 4.3). Il n’y a dès lors pas lieu de compléter l’état de fait comme le requiert l’appelant, rien ne justifiant qu’il soit fait état, dans le présent jugement, de l’ensemble des mesures d’instruction requises et des échanges auxquels elles ont donné lieu, que celles-ci aient abouti ou non. De plus, contrairement à ce que prétend l’appelant, il importe peu que la production au dossier, par la police, des documents et des informations requis ait été chaotique et en proie à de nombreux atermoiements. Au stade de l’appel, D.________ n’a formulé aucune réquisition de preuves, de sorte que l’on peut en déduire qu’il considère l’instruction comme étant complète. Mal fondé, le grief de l’appelant à ce sujet doit être rejeté. 4.</w:t>
      </w:r>
    </w:p>
    <w:p>
      <w:r>
        <w:rPr>
          <w:b/>
        </w:rPr>
        <w:t>E. 4</w:t>
      </w:r>
    </w:p>
    <w:p>
      <w:r>
        <w:t>Malgré l'injonction du Ministère public précise et claire en ce sens, le mode d'emploi du radar n'a pas été produit par la police (dossier, P15/1 a contrario).</w:t>
      </w:r>
    </w:p>
    <w:p>
      <w:r>
        <w:rPr>
          <w:b/>
        </w:rPr>
        <w:t>E. 4.1</w:t>
      </w:r>
    </w:p>
    <w:p>
      <w:r>
        <w:t>Invoquant une constatation erronée des faits et une violation de la présomption d’innocence, l’appelant reproche au premier juge d’avoir retenu que le radar a été utilisé conformément au manuel d’utilisation et que la mesure est parfaitement fiable. Il soutient qu’il a jeté le discrédit sur la mesure de la vitesse en relevant de nombreuses erreurs et imprécisions et que le premier juge ne pouvait pas retenir qu’elle était exempte de toute critique. L’appelant allègue que le mode d’emploi du radar contient des instructions précises quant à la mise en route et à l’utilisation de l’appareil, que selon la section 7 « Essais de l’appareil et vérifications concernant la fiabilité » du mode d’emploi, plusieurs contrôles doivent être effectués durant l’utilisation de l’appareil – test d’intégrité du HUD (Heads UP Dysplay), test d’alignement de la lunette, test d’alignement de la caméra, vérifications concernant la fiabilité de l’appareil, test de distance fixe zéro vitesse et test d’écart de distance – et que le Sgt Z.________ a indiqué aux débats que soit l’appareil fonctionnait soit il ne fonctionnait pas, qu’il n’y avait pas d’intervention humaine à proprement parler et que ces tests se faisaient automatiquement. Il relève que le mode d’emploi mentionne d’emblée qu’un certain nombre de vérifications internes ont lieu pendant que la « TruCAM » est en marche, qu’a contrario, certains tests ne se font pas automatiquement, qu’il est spécifié au regard de certains tests qu’il est recommandé d’y procéder « avant ou après chaque quart de travail » et qu’une intervention humaine est donc nécessaire. Pour l’appelant, si ces tests figurent expressément dans le mode d’emploi et sont préconisés par le constructeur, cela signifie qu’ils doivent être effectués, faute de quoi le bon fonctionnement de l’appareil et la fiabilité de la mesure ne peuvent pas être garantis. Ces tests nécessitaient des comportements actifs qui n’ont à l’évidence pas été adoptés par l’agent opérateur, le Sgt Z.________ ayant dit qu’il ne devait rien faire. L’appelant argue encore que la section 4 « Installation de la caméra/du laser en bord de route » désigne les éléments à prendre en considération pour une mesure efficace et fiable, que la distance de pointage optimale est de 70 mètres et que pour être optimales, les mesures doivent être effectuées à une distance oscillant entre 15 et 80 mètres pour un appareil tenu à la main. Il observe enfin que la mesure litigieuse a été effectuée à une distance de 108,1 mètres, soit près de 30 mètres au-delà des recommandations pour une mesure optimale et que la seule mention, sans autre explication, d’une distance maximale de mesure de 1'200 mètres ne suffit pas à établir que la mesure litigieuse est fiable et exacte, rien ne venant infirmer la distance optimale entre 15 et 80  mètres figurant dans le mode d’emploi.</w:t>
      </w:r>
    </w:p>
    <w:p>
      <w:r>
        <w:rPr>
          <w:b/>
        </w:rPr>
        <w:t>E. 4.2</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 RS 741.013). Selon l'art. 3 al. 1, 1ère phrase, OCCR, le contrôle de la circulation sur la voie publique, y compris celui du transport de voyageurs et de l'admission des transporteurs routiers, incombe aux organes de police compétents selon le droit cantonal.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Dans ce cadre, cet office a édicté, le 22 mai 2008, une ordonnance (OOCCR-OFROU ; RS 741.013.1), ainsi que, en accord avec l’Institut fédéral de métrologie (METAS), des instructions concernant les contrôles de vitesse par la police et la surveillance de la circulation aux feux rouges (Instructions de l'OFROU). Selon l'art. 2 OOCCR-OFROU, les systèmes de mesure destinés à la constatation officielle de faits matériels dans le cadre de contrôles de la circulation routière ne peuvent être mis en place, installés, exploités et entretenus que par du personnel dûment formé (al. 2). L'al. 3 prévoit que le personnel chargé des contrôles et de l'évaluation doit disposer des connaissances spécialisées théoriques et pratiques relatives au type de mesure, au système de mesure, à la réalisation des mesures ainsi qu'à l'évaluation des mesurages (let. a) ; être habilité par l'autorité compétente à exécuter des contrôles et des évaluations (let. b). Le Tribunal fédéral admet que les certificats de vérification établis par l’Institut fédéral de métrologie et attestant que l'instrument de mesure a été contrôlé selon les prescriptions de vérification du METAS, fixées lors de l'examen de modèle, suffisent pour admettre le bon fonctionnement de l'instrument et la fiabilité des mesures (TF 1C_157/2021 du 7 juillet 2021 consid. 3.3.1 ; TF 6B_988/2018 du 2 novembre 2018 consid. 1.3.1 ; TF 6B_592/2018 du</w:t>
      </w:r>
    </w:p>
    <w:p>
      <w:r>
        <w:rPr>
          <w:b/>
        </w:rPr>
        <w:t>E. 4.3</w:t>
      </w:r>
    </w:p>
    <w:p>
      <w:r>
        <w:t>A l’instar du premier juge, la Cour de céans considère que l’appareil de contrôle, en particulier son système cinémètrique laser, était valablement étalonné au moment du contrôle de vitesse litigieux. En effet, le radar a fait l’objet d’un certificat de vérification n o 258-36227 établi le 23 juin 2021 par l’Institut fédéral de métrologie METAS, valable jusqu’au 30 juin 2022 (P. 15/2, P. 29/3). Ce certificat n’aurait pas été délivré si l’appareil ne correspondait pas aux exigences posées par l’OOCCR-OFROU, notamment en termes de précision des mesures ou de la manière dont les valeurs sont arrondies automatiquement par l’appareil. Le fait que le procès-verbal des mesures de vitesse extrait du logiciel de traitement des infractions indique sous la rubrique « Date de l’étalonnage » la date du 13 janvier 2021 (P. 15/2) alors que le certificat de vérification mentionne comme « Date de vérification » le 23 juin 2021 n’est pas déterminant. Comme l’ont expliqué la police (P. 29/1) et le Sgt Z.________ (jugement p. 8), la date figurant sur le procès-verbal extrait du logiciel, un document interne, résulte d’une erreur de plume faite lors de l’insertion des données dans le logiciel et seule la date de vérification figurant sur le procès-verbal établi par l’opérateur immédiatement après le contrôle et à l’origine de la dénonciation est correcte. L’excès de vitesse a donc été constaté durant la période de validité du certificat de vérification de l’appareil METAS 458819. L’appelant se prévaut en vain de l’absence des tests de contrôle préconisés par le mode d’emploi de l’appareil pour soutenir que le radar n’a pas été utilisé conformément à son manuel d’utilisation. Entendu par le Tribunal de police, le Sgt Z.________ a expliqué que les vérifications se faisaient obligatoirement et automatiquement lors de chaque allumage, qu’il n’y avait pas de mesure possible si ces tests ne se faisaient pas correctement, que si quelque chose ne fonctionnait pas, il y avait un message d’erreur et qu’il n’y avait pas d’intervention humaine lors du contrôle du fonctionnement de l’appareil, celui-ci faisant lui-même les contrôles (jugement pp. 8-10). Il paraît dès lors évident qu’un défaut de l’appareil entraînerait une impossibilité de prendre la mesure et non une erreur dans la mesure elle-même, et qu’il n’y a pas de place pour une erreur humaine puisque l’appareil teste lui-même automatiquement son bon fonctionnement. Il peut être donné acte à l’appelant que certains contrôles doivent être faits manuellement. Il s’agit en particulier du test d’alignement de la caméra et de la lunette destiné à s’assurer que le faisceau est aligné à la visée et que la photographie vise le bon endroit, comme l’a dit le Sgt Z.________ aux débats (jugement p. 9). Il en va de même s’agissant de la distance optimale pour la prise de mesure ressortant du manuel d’utilisation, au sujet de laquelle le Sgt Z.________ s’est clairement expliqué (jugement p. 10) : « On doit suivre le véhicule. On prend la vitesse à une certaine distance, la photo se fait entre 40 et 60 m, pendant tout le temps on doit suivre le véhicule. Plus le véhicule est loin, plus il est petit. Si le faisceau sort du véhicule, on perd la mesure. ». Dans ces cas-là, si les contrôles ne sont pas effectués ou si la distance optimale n’est pas respectée, il en résulte une impossibilité de mesurer la vitesse (la photographie n’est pas alignée) et non une erreur dans le résultat. Comme l’a retenu le premier juge, le fait que la mesure a été prise à une distance de 108,1 mètres n’est pas contraire au manuel d’utilisation de l’appareil et n’invalide pas la mesure. Le mode d’emploi du radar précise expressément que la distance de mesure maximale est de 1'200 mètres (P. 29/2 p. 79). La distance de 108,1 mètres n’a ainsi pas pu empêcher le radar de fonctionner correctement. A noter que les distances optimales de 15 à 80 mètres évoquées par l’appelant concernent la prise de photographies, et non la mesure de la vitesse, de sorte que la distance de 108,1 mètres n’entache en rien la fiabilité de la mesure effectuée. Tout bien considéré, l’appelant n’apporte aucun élément qui remettrait en cause la fiabilité de l’appareil de contrôle avec lequel la police a mesuré la vitesse à laquelle il circulait le 7 mars 2022 et la précision de la mesure. Lors de sa première audition le 24 juin 2022, le prévenu a déclaré (P. 4, PV aud. R. 11) : « Les vitesses relevées me paraissent hautes. Je suis surpris, car avec ma petite voiture cela ne me paraît pas possible. ». Aux débats, le prévenu a finalement admis que son véhicule pouvait circuler à 85 km/h, tout en contestant avoir conduit à cette vitesse et en relevant que la marge d’erreur est incorrecte (jugement p. 7). Le Sgt Z.________ a quant à lui expliqué qu’il n’y avait pas d’intervention humaine sur la marge d’erreur (jugement p. 10). Ce policier, qui a témoigné de la bonne utilisation de l’appareil de contrôle, est non seulement assermenté, mais il a également suivi un « cours sur les connaissances théoriques spécialisées pour contrôler les infractions aux limitations de vitesse » au moyen de matériel conforme aux exigences du droit fédéral (P. 15/2). Il n’y a dès lors aucune raison de douter des compétences et des constats effectués par le Sgt Z.________, et ses déclarations doivent être privilégiées par rapport à celles du prévenu, d’autant que contrairement à un prévenu qui risque l’inscription d’une condamnation dans son casier judiciaire et un retrait de son permis de conduire, le policier n’a aucun intérêt à mentir. Au vu de ce qui précède, la fiabilité de la mesure de la vitesse opérée par le radar ne suscite aucun doute raisonnable. Le premier juge était donc fondé à retenir que le prévenu circulait à la vitesse de 85 km/h, marge de sécurité déduite, lorsqu’il a été flashé. Mal fondé, ce grief doit être rejeté. 5.</w:t>
      </w:r>
    </w:p>
    <w:p>
      <w:r>
        <w:rPr>
          <w:b/>
        </w:rPr>
        <w:t>E. 5</w:t>
      </w:r>
    </w:p>
    <w:p>
      <w:r>
        <w:t>Par pli du soussigné du 13 février 2023, l'appelant a requis une nouvelle fois la production du mode d'emploi du radar, omis par la police (dossier, P17).</w:t>
      </w:r>
    </w:p>
    <w:p>
      <w:r>
        <w:rPr>
          <w:b/>
        </w:rPr>
        <w:t>E. 5.1</w:t>
      </w:r>
    </w:p>
    <w:p>
      <w:r>
        <w:t>L’appelant conteste sa condamnation pour violation grave des règles de la circulation au sens de l’art. 90 al. 2 LCR. Il soutient une nouvelle fois que la vitesse mesurée par le radar n’est pas fiable ni exacte, qu’il subsiste des zones d’ombre entourant la prise de cette mesure, que la vitesse retenue est le seul élément à charge, qu’elle doit être exempte de tout reproche et que la rigidité du système impose la plus grande précision. Il fait valoir que l’agent opérateur n’a pas été en mesure de confirmer si et dans quelle mesure la vitesse mesurée a été arrondie au chiffre entier le plus proche et que l’excès de vitesse commis constitue tout au plus une faute légère au sens de l’art. 90 al. 1 LCR.</w:t>
      </w:r>
    </w:p>
    <w:p>
      <w:r>
        <w:rPr>
          <w:b/>
        </w:rPr>
        <w:t>E. 5.2.1</w:t>
      </w:r>
    </w:p>
    <w:p>
      <w:r>
        <w:t>Selon l'art. 90 LCR (Loi fédérale sur la circulation routière du 19 décembre 1958 ; RS 741.01),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p. 136 ; TF 6B_1300/2016 du 5 décembre 2017 consid. 2 non publié aux ATF 143 IV 500). Plus la violation de la règle de la circulation est objectivement grave, plus on admettra l'existence d'une absence de scrupule, sauf indice particulier permettant de retenir le contraire (ATF 142 IV 93 consid. 3.1 ; TF 6B_254/2023 du 12 juillet 2023 consid. 4.2). Dans le domaine des excès de vitesse, la jurisprudence a été amenée à fixer des règles précises afin d'assurer l'égalité de traitement. Ainsi, les éléments objectif – et en principe subjectif – du cas grave au sens de l'art.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et les références citées ; TF 6B_734/2023 du 20 octobre 2023 ; TF 6B_254/2023 précité consid. 4.3).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(TF 6B_326/2017 du 20 novembre 2017 consid. 1.1 ; TF 6B_3/2014 du 28 avril 2014 consid. 1.1). L’art. 8 al. 1 let. b ch. 1 OOCCR-OFROU stipule qu’en cas de mesure par laser, pour une valeur mesurée inférieure ou égale à 100 km/h, la valeur de 3 km/h doit être déduite de la vitesse mesurée, après que cette dernière a été arrondie au chiffre entier le plus proche.</w:t>
      </w:r>
    </w:p>
    <w:p>
      <w:r>
        <w:rPr>
          <w:b/>
        </w:rPr>
        <w:t>E. 5.2.2</w:t>
      </w:r>
    </w:p>
    <w:p>
      <w:r>
        <w:t>La vitesse doit toujours être adaptée aux circonstances, notamment aux particularités du véhicule et du chargement, ainsi qu'aux conditions de la route, de la circulation et de la visibilité (art. 32 al. 1 1 re phr. LCR). Le Conseil fédéral limitera la vitesse des véhicules automobiles sur toutes les routes (art. 32 al. 2 LCR). Selon l’art. 4a al. 1 let. b OCR (Ordonnance sur les règles de la circulation routière du 13 novembre 1962 ; RS 741.11), la vitesse maximale générale des véhicules peut atteindre, lorsque les conditions de la route, de la circulation et de visibilité sont favorables, 80 km/h hors des localités, à l’exception des semi-autoroutes et des autoroutes. Lorsque des signaux indiquent d’autres vitesses maximales, celles-ci sont applicables en lieu et place des limitations générales de vitesse (al. 1) ; il en va de même des vitesses inférieures imposées à certains genres de véhicules par l’art. 5 ou à certains véhicules par décision de l’autorité compétente (art. 4a al. 5 OCR).</w:t>
      </w:r>
    </w:p>
    <w:p>
      <w:r>
        <w:rPr>
          <w:b/>
        </w:rPr>
        <w:t>E. 5.3</w:t>
      </w:r>
    </w:p>
    <w:p>
      <w:r>
        <w:t>Les griefs de l’appelant en lien avec la mesure de la vitesse litigieuse doivent tous être écartés, puisque pour les motifs exposés ci-avant (cf. ch. 4.3 supra ), la vitesse de 85 km/h sera retenue. S’agissant en particulier de l’arrondisse­ment de la vitesse mesurée au chiffre entier le plus proche avant la déduction de la marge de sécurité (cf. art. 8 al. 1 let. b ch. 1 OOCCR-OFROU), il ressort des déclarations du Sgt Z.________ qu’il n’y a pas de chiffres à virgule et que l’appareil arrondit lui-même la vitesse mesurée (jugement p. 11), de sorte que l’agent opérateur n’intervient pas pour fixer la vitesse nette. Prendre en considération la vitesse avant qu’elle n’ait été arrondie serait pour le surplus contraire à l’art. 8 al. 1 let. b OOCCR-OFROU. Mal fondé, ce moyen doit être rejeté. Les faits datent du 7 mars 2022. Les conditions météorologiques étaient bonnes et la route était sèche. Le contrôle de vitesse a eu lieu sur une route cantonale située dans une zone d’habitations où il y a de nombreuses intersections avec des routes secondaires. Il ne s’agit pas d’une ligne droite avec une bonne visibilité. Des véhicules pouvaient donc surgir à tout moment sur la route cantonale et des usagers moins rapides, tels que des tracteurs, des camions ou des vélos, pouvaient s’y trouver. Conformément à ce qui a été exposé ci-avant (cf. ch. 4.3 supra ), il convient de retenir que l’appelant circulait à une vitesse de 85 km/h, marge de sécurité déduite. La vitesse était limitée à 60 km/h à l’endroit où le prévenu a été flashé, ce qui n’est pas contesté. Dans ces conditions, l’appelant a dépassé la vitesse maximale autorisée de 25 km/h, créant, à tout le moins par négligence grossière, un sérieux danger pour la sécurité des autres usagers. Au reste, la Cour de céans ne discerne aucune circonstance exceptionnelle qui justifierait l’exclusion de l’application du cas grave. Partant, la condamnation de l’appelant pour violation grave des règles de la circulation routière au sens de l’art. 90 al. 2 LCR doit être confirmée. 6.</w:t>
      </w:r>
    </w:p>
    <w:p>
      <w:r>
        <w:rPr>
          <w:b/>
        </w:rPr>
        <w:t>E. 6</w:t>
      </w:r>
    </w:p>
    <w:p>
      <w:r>
        <w:t>Dans cet envoi, l'appelant a également souligné une erreur dans les documents établis et produits par la Police, deux dates d'étalonnage différentes, soit le 13 janvier 2021 selon le PV et le 23 juin 2021 selon le certificat METAS (dossier, P17, P15/2, p. 3 et 5).</w:t>
      </w:r>
    </w:p>
    <w:p>
      <w:r>
        <w:rPr>
          <w:b/>
        </w:rPr>
        <w:t>E. 6.1</w:t>
      </w:r>
    </w:p>
    <w:p>
      <w:r>
        <w:t>L’appelant, qui conclut à libération, ne conteste pas la peine en tant que telle. Celle-ci doit toutefois être examinée d’office.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A teneur de l'art. 42 al. 1 CP, le juge suspend en règle générale l'exécution d'une peine pécuniaire ou d'une peine privative de liberté de deux ans au plus lorsqu'une peine ferme ne paraît pas nécessaire pour détourner l'auteur d'autres crimes ou délits. Selon l’art. 90 al. 2 LCR, celui qui, par une violation grave d’une règle de la circulation, crée un sérieux danger pour la sécurité d’autrui ou en prend le risque est puni d’une peine privative de liberté de trois ans au plus ou d’une peine pécuniaire.</w:t>
      </w:r>
    </w:p>
    <w:p>
      <w:r>
        <w:rPr>
          <w:b/>
        </w:rPr>
        <w:t>E. 6.3</w:t>
      </w:r>
    </w:p>
    <w:p>
      <w:r>
        <w:t>Vérifiée d’office, la sanction, fixée en application des critères légaux à charge et à décharge, et conformément à la culpabilité et à la situation personnelle de D.________, ne prête pas le flanc à la critique. Il peut être renvoyé à cet égard à la motivation du premier juge (cf. jugement pp. 16 à 18 ; art. 82 al. 4 CPP), qui est claire et convaincante. Au vu de la faute commise par l’appelant, de sa difficulté à reconnaître sa faute et de ses antécédents d’infractions à la loi sur la circulation routière, la peine pécuniaire de 20 jours-amende à 90 fr. le jour avec sursis pendant trois ans, ainsi que l’amende de 360 fr. prononcée à titre de sanction immédiate et la peine privative de liberté de substitution en cas de non-paiement fautif de 4 jours, répriment adéquatement le comportement litigieux de l’appelant et doivent être confirmées. 7. La condamnation de l’appelant étant confirmée en appel, celui-ci est tenu aux frais de première et de deuxième instances (art. 426 al. 1 CPP). Partant, il ne saurait prétendre à une indemnité au sens de l’art. 429 al. 1 let. a CPP pour les dépenses occasionnées par l’exercice raisonnable de ses droits en première et en deuxième instance. 8. En définitive, l’appel de D.________ doit être rejeté et le jugement entrepris confirmé. Vu l'issue de la cause, les frais de la procédure d'appel, constitués du seul émolument de jugement, par 2'270 fr. (art. 21 al. 1 et 2 TFIP [Tarif des frais de procédure et indemnités en matière pénale du 28 septembre 2010 ; BLV 312.03.1]), seront mis à la charge de D.________, qui succombe (art. 428 al. 1 CPP).</w:t>
      </w:r>
    </w:p>
    <w:p>
      <w:r>
        <w:rPr>
          <w:b/>
        </w:rPr>
        <w:t>E. 7</w:t>
      </w:r>
    </w:p>
    <w:p>
      <w:r>
        <w:t>Par pli adressé à la police le 28 février 2023, le Ministère public a sollicité des explications aux erreurs et contradictions figurant dans la documentation établie et remise (dossier, P21).</w:t>
      </w:r>
    </w:p>
    <w:p>
      <w:r>
        <w:rPr>
          <w:b/>
        </w:rPr>
        <w:t>E. 8</w:t>
      </w:r>
    </w:p>
    <w:p>
      <w:r>
        <w:t>Par pli du soussigné du même jour, l'appelant a rappelé les incohérences et erreurs constatées et requis une nouvelle fois la production du mode d'emploi radar, toujours pas ordonnée et toujours pas produit malgré son importance capitale (dossier, P22).</w:t>
      </w:r>
    </w:p>
    <w:p>
      <w:r>
        <w:rPr>
          <w:b/>
        </w:rPr>
        <w:t>E. 9</w:t>
      </w:r>
    </w:p>
    <w:p>
      <w:r>
        <w:t>Par pli du 8 mars 2023, la police, par l'intermédiaire de M. [...], a tenté une première fois de répondre aux contradictions soulevées, se contentant de mentionner de manière étonnante, péremptoire et confuse, sans autres explications, qu'il s'agissait d'une simple erreur de plume sur le PV électro­nique de mesure de vitesse, sans plus de détail (dossier, P23).</w:t>
      </w:r>
    </w:p>
    <w:p>
      <w:r>
        <w:rPr>
          <w:b/>
        </w:rPr>
        <w:t>E. 10</w:t>
      </w:r>
    </w:p>
    <w:p>
      <w:r>
        <w:t>Le mode d'emploi du radar n'a pas été produit par la police en annexe à son envoi du 8 mars 2023 (dossier, P23).</w:t>
      </w:r>
    </w:p>
    <w:p>
      <w:r>
        <w:rPr>
          <w:b/>
        </w:rPr>
        <w:t>E. 11</w:t>
      </w:r>
    </w:p>
    <w:p>
      <w:r>
        <w:t>Par pli du soussigné à l'attention de l'Autorité intimée du 13 juillet 2023, l'appelant a, dans le cadre des réquisitions de preuve en vue du jugement, requis notamment, une nouvelle fois, la production du mode d'emploi du radar, et des explications complémentaires quant aux erreurs constatées quant à l'étalonnage du radar (dossier).</w:t>
      </w:r>
    </w:p>
    <w:p>
      <w:r>
        <w:rPr>
          <w:b/>
        </w:rPr>
        <w:t>E. 12</w:t>
      </w:r>
    </w:p>
    <w:p>
      <w:r>
        <w:t>Par pli du 25 juillet 2023, suite à l'injonction de l'Autorité intimée, la police a enfin produit le mode d'emploi demandé (dossier, P29).</w:t>
      </w:r>
    </w:p>
    <w:p>
      <w:r>
        <w:rPr>
          <w:b/>
        </w:rPr>
        <w:t>E. 13</w:t>
      </w:r>
    </w:p>
    <w:p>
      <w:r>
        <w:t>août 2018 consid. 1.3). Dans la mesure où les contrôles les plus récents prouvent à satisfaction le bon fonctionnement de l'appareil de mesure et l'installation conforme de celui-ci, il est sans importance de savoir si antérieurement les vérifications ad hoc ont été régulièrement opérées et, en particulier, si, au moment de sa première mise en circulation, l’appareil présentait toutes les garanties d'un fonctionnement conforme aux prescriptions légales (TF 6B_592/2018 du 13 août 2018 consid. 1.3). En l'absence de modification de certaines circonstances, à savoir la modification de la loi, l'endommagement de l'appareil ou sa réparation, le certificat de vérification reste valable durant la période entre les dates d'émission des certificats et celle du contrôle de vitesse et l’on peut considérer que l'appareil radar présente toutes les garanties d'un fonctionnement conforme aux prescriptions légales (TF 6B_592/2018 du 13 août 2018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