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303 vom 6. August 2024</w:t>
      </w:r>
    </w:p>
    <w:p>
      <w:r>
        <w:t>VD Tribunal cantonal, 2024-08-06, FR</w:t>
      </w:r>
    </w:p>
    <w:p>
      <w:r>
        <w:rPr>
          <w:b/>
        </w:rPr>
        <w:t xml:space="preserve">Quelle: </w:t>
      </w:r>
      <w:r>
        <w:t>https://mcp.opencaselaw.ch/entscheid/vd_findinfo_Jug___2024___303</w:t>
      </w:r>
    </w:p>
    <w:p>
      <w:r>
        <w:t>FR: VD_FINDINFO Jug / 2024 / 303 du 6 août 2024</w:t>
      </w:r>
    </w:p>
    <w:p>
      <w:r>
        <w:t>IT: VD_FINDINFO Jug / 2024 / 303 del 6 agosto 2024</w:t>
      </w:r>
    </w:p>
    <w:p>
      <w:pPr>
        <w:pStyle w:val="Heading2"/>
      </w:pPr>
      <w:r>
        <w:t>Regeste</w:t>
      </w:r>
    </w:p>
    <w:p>
      <w:r>
        <w:t>RISQUE DE CONFUSION, IMITATION{PROPRIÉTÉ INTELLECTUELLE}, USURPATION D'UN NOM | 29 CC, 3 al. 1 let. b LCD, 3 al. 1 let. d LCD, 3 al. 1 let. e LCD, 9 al. 1 LCD, 223 al. 1 CPC (CH), 223 al. 2 CPC (CH)</w:t>
      </w:r>
    </w:p>
    <w:p>
      <w:pPr>
        <w:pStyle w:val="Heading2"/>
      </w:pPr>
      <w:r>
        <w:t>Erwägungen</w:t>
      </w:r>
    </w:p>
    <w:p>
      <w:r>
        <w:rPr>
          <w:b/>
        </w:rPr>
        <w:t>E. 2</w:t>
      </w:r>
    </w:p>
    <w:p>
      <w:r>
        <w:t>CPC).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 ibid. ; Haldy, CPC commenté, Bâle 2011, n. 2 ad art. 36 CPC). L'art. 5 al. 1 CPC prévoit que le droit cantonal institue la juridiction compétente pour statuer en instance cantonale unique sur les litiges relevant de la LCD lorsque la valeur litigieuse dépasse 30'000 fr. (let. d). Conformément à l'art. 74 al. 3 LOJV (loi d’organisation judiciaire du 12 décembre 1979 ; BLV 173.01), la Cour civile statue dans les causes pour lesquelles le droit fédéral impose une instance cantonale unique. c) En l’espèce, la cour de céans est compétente ratione materiae et ratione loci , dès lors que le siège de la demanderesse et le domicile du demandeur se trouvent dans le canton de Vaud, lieu du résultat de la prétendue violation de leurs droits, et que les prétentions litigieuses sont fondées sur le droit de la concurrence déloyale pour une valeur litigieuse supérieure à 30'000 francs. Elle est également compétente s’agissant des conclusions prises à l’encontre de la défenderesse B.________ dont le siège se trouve aux [...] (art. 129 al. 1 et 136 LDIP ; art. 8a al. 1 LDIP). III. a) Selon l'art. 223 al. 2 CPC, si la réponse n'est pas déposée à l'échéance du délai supplémentaire de l'art. 223 al. 1 CPC, le tribunal rend la décision finale si la cause est en état d'être jugée ; sinon, la cause est citée aux débats principaux.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 La décision rendue selon l’art. 223 al. 2 CPC est une décision finale tranchant définitivement, sous réserve de recours ou de restitution, le fond du litige. Elle ne saurait donc être confiée à un juge délégué au sens de l’art. 124 al. 2 CPC, sauf disposition expresse d’une loi d’organisation judiciaire cantonale prévoyant qu’en ce cas, l’autorité compétente au fond appartient à un juge unique, même dans une cause qui relèverait d’une juridiction collective si elle était tranchée en contradictoire (Tappy, op. cit., n. 12 ad art. 223 CPC). Cela ne signifie pas cependant que cette autorité, collective ou non, doit tenir audience. L’art. 223 al. 2 CPC envisage en effet une décision prise à huis clos, voire par voie de circulation (Tappy, op. cit., n. 13 ad art. 223 CPC). Cette disposition n’exige enfin aucune requête de l’autre partie et peut être appliquée d’office, même si rien n’empêche le demandeur de solliciter qu’il soit fait application de cette disposition à l’échéance du délai supplémentaire de l’art. 223 al. 1 CPC (Tappy, op. cit., n. 14 ad art. 223 CPC). b) En l’espèce, les défenderesses ont été valablement citées à comparaître à une audience de premières plaidoiries ainsi qu’à une audience de reprise de premières plaidoiries par la juge déléguée. Elles ne s’y sont toutefois pas présentées. Elles n’ont surtout pas procédé dans le délai qui leur a été imparti puis prolongé pour déposer une réponse, conformément à l’art. 223 al. 1 CPC. La cause n'est pas soumise à la maxime d'office, et il n'y a aucun motif sérieux de douter de la véracité des faits non contestés. Dans la mesure où la cause est en état d’être jugée, la cour de céans est à même de rendre une décision finale dans le cas présent. IV. a)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w:t>
      </w:r>
    </w:p>
    <w:p>
      <w:r>
        <w:rPr>
          <w:b/>
        </w:rPr>
        <w:t>E. 3</w:t>
      </w:r>
    </w:p>
    <w:p>
      <w:r>
        <w:t>al. 1 let. b LCD) ainsi que l’aspect parasitaire des démarches effectuées (art. 3 al. 1 let. e LCD). On doit considérer que l’usage de ce nom constitue bien un comportement déloyal au sens des art. 2 et 3 LCD, ainsi qu’une usurpation illicite au sens de l’art. 29 al. 2 CC. d) Au vu de ce qui précède, il y a lieu de faire droit aux conclusions I, II, IV, VI, XV, XX, XXI, XXII, XXV et XXVI des demandes déposées le 19 mars 2021. Il convient ainsi d’ordonner à la défenderesse B.________ de modifier sa raison sociale, de lui interdire d’utiliser le signe « [...] », d’interdire à la défenderesse N.________ d’utiliser le nom de domaine « [...].ch » et d’interdire aux défenderesses de déposer un nom de domaine comprenant ces éléments. V. a) Selon l’art. 343 CPC, lorsque la décision prescrit une obligation de faire, de s’abstenir ou de tolérer, le tribunal de l’exécution peut notamment assortir la décision de la menace de la peine prévue à l’art. 292 CP (Code pénal suisse du 21 décembre 1937; RS 311) (let. a), prévoir une amende d’ordre de 5’000 fr. au plus (let. b) ou prévoir une amende d’ordre de 1’000 fr. au plus pour chaque jour d’inexécution (let. c). Dans ces trois cas de figure, le non-respect des mesures prises par le tribunal de l’exécution aura pour conséquence que cette autorité dénoncera l’infraction à l’autorité de poursuite pénale et/ou prononcera l’une et/ou l’autre des amendes annoncées (Jeandin, in Bohnet/Haldy/Jeandin/Schweizer/Tappy, Code de procédure civile commenté, 2019, n. 14 ad art. 343 CPC). b) En l’espèce, dans la mesure où les demandeurs ont requis des dispositions d’exécution pour les conclusions qui sont admises, il y a lieu d'ordonner de telles mesures d'exécution. Il convient en outre de tenir compte du dommage risqué par les demandeurs et de la valeur litigieuse de 500'000 fr., pour fixer le montant de l’amende d’ordre à hauteur de 1'000 fr. pour chaque jour d’inexécution mais d’un montant de 5'000 fr. au minimum. VI.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BLV 270.11.15), l'émolument forfaitaire de décision pour les contestations patrimoniales en procédure ordinaire est fixé à 11’500 fr. dans les cas où la valeur litigieuse se situe entre 250’001 fr. et 500'000 fr., montant qui est majoré de 5'750 fr. par partie supplémentaire lorsque le procès met en cause plus de deux parties (art. 19 TFJC). Le montant est réduit des trois quarts lorsque le procès prend fin pour une des causes prévues à l’art. 241 CPC au plus tard à la première audience et il est réduit des deux tiers lorsque le procès prend fin par une décision au sens de l’art. 223 al. 2 CPC (art. 22 al.1 et 4 TFJC). b) En l’occurrence, compte tenu des circonstances du cas d’espèce, il n'y a pas lieu de s'éloigner de l'estimation des demandeurs de la valeur litigieuse, soit 500'000 francs. Le procès prend fin pour une des causes prévues par l’art. 241 CPC s’agissant des défendeurs P.________ et C.________, alors qu’il prend fin par une décision au sens de l’art. 223 al. 2 CPC s’agissant des défenderesses B.________ et N.________. Les frais de justice sont donc arrêtés à 23'701 fr. 80, soit 11'850 fr. 90 pour chaque demandeur, et seront supportés par les défendeurs, qui succombent, à l’exception du défendeur P.________ dès lors que les demandeurs ont renoncé au remboursement des frais judiciaires de sa part dans la convention signée le 11 octobre 2023. Le défendeur C.________ doit donc des frais judiciaires à hauteur de 1'481 fr. 40 (soit un remboursement d’avances de frais à hauteur de 740 fr. 70 pour chaque demandeur). Les défenderesses B.________ et N.________, quant à elles, doivent chacune des frais judiciaires à hauteur de 1'975 fr. 15 (soit un remboursement d’avances de frais à hauteur de 987 fr. 60 pour chaque demandeur). Quant aux dépens, ils sont arrêtés à 157’500 fr. pour chacun des demandeurs et mis à la charge des défendeurs, solidairement entre eux (art. 4, 19 et 20 al. 1 Tarif des dépens en matière civile du 23 novembre 2010 [TDC ; BLV 270.11.6]), à l’exception du défendeur P.________ dès lors que les demandeurs ont renoncé à l’allocation de dépens de sa part dans la convention signée le 11 octobre 2023. VII. Le présent jugement, rendu par une instance cantonale unique au sens de l'art. 5 CPC, est motivé d'office (Kriech, ZPO-Kommentar, 2 e éd., n. 7 ad art. 239 CPC; Steck/Brunner, Basler Kommentar, 3 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