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302 vom 8. November 2023</w:t>
      </w:r>
    </w:p>
    <w:p>
      <w:r>
        <w:t>VD Tribunal cantonal, 2023-11-08, FR</w:t>
      </w:r>
    </w:p>
    <w:p>
      <w:r>
        <w:rPr>
          <w:b/>
        </w:rPr>
        <w:t xml:space="preserve">Quelle: </w:t>
      </w:r>
      <w:r>
        <w:t>https://mcp.opencaselaw.ch/entscheid/vd_findinfo_Jug___2024___302</w:t>
      </w:r>
    </w:p>
    <w:p>
      <w:r>
        <w:t>FR: VD_FINDINFO Jug / 2024 / 302 du 8 novembre 2023</w:t>
      </w:r>
    </w:p>
    <w:p>
      <w:r>
        <w:t>IT: VD_FINDINFO Jug / 2024 / 302 del 8 novembre 2023</w:t>
      </w:r>
    </w:p>
    <w:p>
      <w:pPr>
        <w:pStyle w:val="Heading2"/>
      </w:pPr>
      <w:r>
        <w:t>Regeste</w:t>
      </w:r>
    </w:p>
    <w:p>
      <w:r>
        <w:t>ASSASSINAT, TENTATIVE{DROIT PÉNAL}, INTENTION | 22 ad 112 CP, 66a al. 1 let. a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de F.________ et W.________ sont recevables.</w:t>
      </w:r>
    </w:p>
    <w:p>
      <w:r>
        <w:rPr>
          <w:b/>
        </w:rPr>
        <w:t>E. 1.1</w:t>
      </w:r>
    </w:p>
    <w:p>
      <w:r>
        <w:t>; ATF 144 IV 345 consid. 2.2.3.3).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n. 34 ad art. 10 CPP). 5.2 L'assassinat (art. 112 CP) est une forme qualifiée d'homicide intentionnel qui se distingue du meurtre ordinaire (art. 111 CP) par le fait que l'auteur a tué avec une absence particulière de scrupules. Cela suppose une faute spécialement lourde et déduite exclusivement de la commission de l'acte ; les antécédents ou le comportement que l'auteur adopte immédiatement après les faits n'entrent en ligne de compte que dans la mesure où ils y sont étroitement liés et permettent de caractériser la personnalité de l'auteur (ATF 141 IV 61 consid. 4.1). Pour caractériser la faute de l'assassin, l'art. 112 CP évoque les cas où les mobiles, le but ou la façon d'agir de l'auteur sont particulièrement odieux. Le mobile est notamment particulièrement odieux lorsqu'il apparaît futile, l'auteur tuant pour se venger, sans motif sérieux, ou encore pour une broutille. La façon d'agir est particulièrement odieuse lorsqu'elle est barbare ou atroce ou lorsque l'auteur a exploité avec perfidie la confiance de la victime. L'énumération du texte légal n'est pas exhaustive. L'absence particulière de scrupules peut être admise lorsque d'autres éléments confèrent à l'acte une gravité spécifique. C'est ainsi que la réflexion et la planification de l'acte peuvent constituer des éléments susceptibles de conduire à retenir une absence particulière de scrupules. Par la froideur dans l'exécution et la maîtrise de soi, l'auteur manifeste également le plus complet mépris de la vie d'autrui (ATF 141 IV 61 consid. 4.1 ; TF 6B_984/2020 du 4 mars 2021 consid. 2.1 ; TF 6B_721/2020 et 6B_730/2020 du 11 février 2021 consid. 4.1). Pour déterminer si l'on se trouve en présence d'un assassinat, il faut procéder à une appréciation d'ensemble des circonstances externes (comportement, manière d'agir de l'auteur) et internes de l'acte (mobile, but, etc.). Il y a assassinat lorsqu'il résulte de l'ensemble de ces circonstances que l'auteur a fait preuve du mépris le plus complet pour la vie d'autrui. Alors que le meurtrier agit pour des motifs plus ou moins compréhensibles, généralement dans une grave situation conflictuelle, l'assassin est une personne qui agit de sang-froid, sans scrupules, qui démontre un égoïsme primaire et odieux et qui, dans le but de poursuivre ses propres intérêts, ne tient aucun compte de la vie d'autrui. Chez l'assassin, l'égoïsme l'emporte en général sur toute autre considération. Il est souvent prêt, pour satisfaire des besoins égoïstes, à sacrifier un être humain dont il n'a pas eu à souffrir. La destruction de la vie d'autrui est toujours d'une gravité extrême. Pour retenir la qualification d'assassinat, il faut cependant que la faute de l'auteur, son caractère odieux, se distingue nettement de celle d'un meurtrier au sens de l'art. 111 CP (ATF 141 IV 61 consid.</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w:t>
      </w:r>
    </w:p>
    <w:p>
      <w:r>
        <w:rPr>
          <w:b/>
        </w:rPr>
        <w:t>E. 3</w:t>
      </w:r>
    </w:p>
    <w:p>
      <w:r>
        <w:t>Les appelants estiment que la reconstitution effectuée dans les locaux de l’Hôtel de police ne permet pas de saisir la dynamique des évènements. Ils requièrent dès lors la mise en œuvre d’une reconstitution sur les lieux des faits, subsidiairement une inspection locale.</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3.2</w:t>
      </w:r>
    </w:p>
    <w:p>
      <w:r>
        <w:t>Une reconstitution a déjà été organisée en cours d’enquête, le 21 septembre 2021. Certes, celle-ci s’est déroulée dans le parking de l’Hôtel de police de Lausanne. Toutefois, on ne voit pas en quoi une reconstitution in situ serait susceptible d’apporter des éléments complémentaires utiles. Comme l’ont relevé les premiers juges, les lieux ont été fidèlement reproduits, de même que la position des scooters, d’un vélo et des taches de sang. La distance entre le trottoir et le toit du couvert à deux roues a également été respectée. En outre, la reconstitution a duré plus de deux heures, l’ensemble des protagonistes ayant largement pu expliquer comment les faits s’étaient déroulés selon eux. Par ailleurs, il faut constater que l’agression s’est déroulée de nuit et que les appelants, qui ne connaissaient pas vraiment les lieux puisque c’était la première fois qu’ils s’y rendaient, étaient, selon leurs déclarations, alcoolisés. Il est dès lors peu vraisemblable qu’ils aient conservé aujourd’hui un souvenir précis et détaillé des faits, ce d’autant que six années se seront bientôt écoulées depuis l’évènement. En définitive, la Cour de céans est en mesure de tirer de la reconstitution effectuée le 23 septembre 2021 tous les enseignements nécessaires pour statuer sur les faits. Les considérations qui précèdent sont applicables à l’inspection locale, étant relevé qu’on dispose également de photographies prises sur les lieux mêmes de l’agression (cf. P. 212). Pour ces motifs, la requête des appelants doit être rejetée.</w:t>
      </w:r>
    </w:p>
    <w:p>
      <w:r>
        <w:rPr>
          <w:b/>
        </w:rPr>
        <w:t>E. 4</w:t>
      </w:r>
    </w:p>
    <w:p>
      <w:r>
        <w:t>Les appelants font valoir une violation de la maxime d’accusation, en ce sens que l’acte d’accusation ne décrirait pas les éléments constitutifs de la tentative d’assassinat. En effet, selon eux, celui-ci ne mentionnerait pas le fait que les coups de machette portés à S.________ l’auraient été pour le tuer. Il n’indiquerait pas non plus quel aurait été leur mobile, en particulier qu’ils auraient été mandatés pour supprimer la victime contre rémunération.</w:t>
      </w:r>
    </w:p>
    <w:p>
      <w:r>
        <w:rPr>
          <w:b/>
        </w:rPr>
        <w:t>E. 4.1</w:t>
      </w:r>
    </w:p>
    <w:p>
      <w:r>
        <w:t>; TF 6B_721/2020 et 6B_730/2020 précités). Sur le plan subjectif, l'auteur doit agir intentionnellement, le dol éventuel étant suffisant (TF 6B_193/2021 et 6B_199/2021 du 30 septembre 2021 consid. 2.1 et les références citées). 5.3 5.3.1 Les premiers juges ont retenu que les intentions de A.B.________ étaient claires et résultaient de sa relation conflictuelle avec S.________. A cet égard, ils ont relevé que A.B.________ avait, à plusieurs reprises, menacé de mort son ex-compagnon et ce, dès qu’elle avait appris que sa nouvelle épouse était venue s’installer avec lui en juillet 2018. Ainsi, le 3 août 2018, A.B.________ s’était présentée au domicile de la victime et lui avait dit qu’il « ne vivrait jamais tranquille en Suisse avec sa nouvelle épouse et qu’elle lui couperait la tête » (PV d’audition n° 9, R. 8, p. 3). Trois ou quatre jours plus tard, elle avait publié une vidéo sur Facebook dans laquelle elle indiquait avoir « trouvé des gens pour tuer S.________ contre la somme de 5'000 dollars » (PV d’audition n° 5, R. 8, p. 3). En outre, au printemps 2015, la victime s'était plainte auprès de la police d'avoir reçu un appel d'un prénommé « [...] », cousin de A.B.________, qui avait menacé de mort sa famille au Sri Lanka et lui avait dit qu'il était en mesure de venir en Suisse avec un gang pour le tuer. Quelques semaines plus tard, un autre individu se présentant comme « [...] » l’avait appelé et l’avait notamment menacé de l'assassiner (P. 351). Enfin, A.B.________ avait adressé plusieurs vidéos à caractère menaçant ou injurieux à S.________. Dans l'une de celles-ci, elle avait déclaré au sujet de son épouse : « Cette salope se cache mais un jour, je la retrouverai, même au Sri Lanka. Elle aura une mort horrible. Moi, je ne le laisserai pas vivre, je ne le laisserai pas vivre s'il abandonne ma fille » (P. 18, p. 7). Les premiers juges ont ainsi constaté que A.B.________ avait, de longue date, proféré des menaces de mort à l’encontre de la victime et que celles-ci s’étaient intensifiées à partir du moment où l’épouse de ce dernier l’avait rejoint à la fin du mois de juillet 2018, soit quelque deux mois avant les faits. Par ailleurs, les premiers juges ont retenu qu’il existait des indices suffisants qui démontraient que les appelants avaient perçu de l’argent en contrepartie de leur entreprise criminelle. A cet égard, ils se sont tout d’abord référés aux propos tenus par A.B.________ sur la vidéo publiée sur Facebook, quelques semaines avant les faits. Ils ont ensuite constaté que le lendemain de l’agression, cette dernière avait contacté J.________ et lui avait dit : « Apparemment, quelqu’un a coupé ou blessé S.________ et il paraît qu’il est mort. Peux-tu vérifier si c’est vrai, car je dois les payer » (PV d’audition n° 10, R. 7, p. 3). De plus, en novembre 2018, A.B.________ avait informé un ami, M.________ qu’elle avait « payé des gens pour faire cela », en parlant bien de l’agression en question (P. 286, p. 12 ; PV d’audition n° 13, R. 12, p. 4). Le Tribunal criminel a certes constaté que ce dernier avait relativisé ses déclarations lors de sa seconde audition, mais, au vu de ses liens avec A.B.________ et des nombreux contacts téléphoniques qu’il avait eus avec celle-ci pendant la période des faits (cf. PV d’audition n° 14, R. 12 à 14), il semblait plutôt qu’il l’avait fait par peur d’être impliqué davantage dans cette affaire. Les premiers juges ont également retenu que le 17 avril 2019, K.________ avait envoyé un message téléphonique à l’un des prévenus, à savoir Z.________, dont la teneur était la suivante : « l’argent, c’est ok frère ? » (P. 286, p. 25). Enfin, lors de l’interpellation de W.________ à son domicile français, un inspecteur avait entendu l’intéressé dire à sa famille : « enlève l’argent » (P. 104/5/2). Au vu des éléments qui précèdent, le Tribunal criminel a considéré qu’il existait un faisceau d’indices qui tendaient à démontrer que les prévenus avaient bien été rémunérés pour leur action. Il a également relevé qu’on ne distinguait pas quel but, autre que financier, ils auraient pu poursuivre en venant s’en prendre à un inconnu à la demande d’une femme qu’ils n’avaient jamais rencontrée. 5.3.2 La Cour de céans ne voit aucune raison de s’écarter de l’appréciation des premiers juges, qui est parfaitement convaincante. Le très important conflit qui divisait W.________ et A.B.________ (plaintes pénales réciproques, disputes continuelles, messages et paroles menaçantes, appels à la police), de même que le ressentiment, devenu obsessionnel au fil des mois, que nourrissait cette dernière à l’encontre de son ex-compagnon et la jalousie qu’elle éprouvait envers sa nouvelle épouse, est largement établi (cf. notamment P. 347 à 352), A.B.________ n’ayant pas hésité à proférer des menaces de mort non seulement contre la victime, mais également contre sa famille au Sri Lanka et sa nouvelle épouse. Ces éléments permettent de comprendre son mobile et, par voie de conséquence, le processus l’ayant amené à engager les appelants pour mettre en œuvre ses intentions funestes. A l’instar du Tribunal criminel, la Cour de céans considère comme établi, au-delà de tout doute raisonnable, que les appelants ont bien été rémunérés pour l’expédition meurtrière à laquelle ils ont participé. En effet, quelques semaines avant les faits, A.B.________ a publié une vidéo sur Facebook, dans laquelle elle déclarait, en substance, avoir engagé des individus pour une somme de 5'000 dollars. Le lendemain même de l’agression, elle s’est renseignée auprès d’un tiers pour vérifier si S.________ était décédé, en indiquant, de manière parfaitement claire, que cette information lui était nécessaire pour savoir si elle devait payer les auteurs. Puis, en novembre 2018, elle a déclaré à un ami, M.________, qu’elle avait payé des gens pour s’en prendre à son ex-compagnon, ajoutant qu’elle en avait fait de même « au Sri Lanka, contre la famille de S.________ ». Entendu le 15 janvier 2019, ce témoin n’a fait preuve d’aucune ambiguïté, en précisant qu’elle lui avait bien parlé de « l’agression contre S.________, suite à laquelle il a eu les mains coupées » (PV d’audition n° 13, R. 12, p. 4). A cet égard, le fait que cet ami ait ensuite relativisé ses déclarations ne peut être compris que comme l’expression de sa volonté de protéger les membres de sa communauté et limiter son implication. L’enquête a encore permis d’obtenir un message adressé à l’un des prévenus, Z.________, par l’intermédiaire qui l’avait recruté en France, message dans lequel ce dernier lui demandait s’il avait bien reçu l’argent, en lui précisant de « faire gaffe désormais ». Enfin, comme l’ont relevé les premiers juges, on ne voit pas pour quelle raison, autre que l’argent, les appelants seraient venus en Suisse depuis la région parisienne, à trois, pour s’en prendre à un parfait inconnu et ce, à la demande d’une femme qu’ils ne connaissaient absolument pas. 5.4 Les appelants ne contestent désormais plus être venus en Suisse pour s’en prendre à S.________. En revanche, ils soutiennent qu’ils n’auraient pas eu l’intention de le tuer, mais uniquement de le blesser aux mains. On relève d’emblée qu’il n’y a rien d’arbitraire à retenir, comme l’a fait le Tribunal criminel, que les appelants, ainsi que Z.________, ont eu le temps d’arranger leur version des faits entre le moment de l’agression et leur arrestation, soit presque une année. Ils savaient en effet que S.________ n’avait souffert que de blessures aux mains, de sorte qu’il leur était aisé de s’entendre sur une version dans laquelle ils n’auraient pas eu l’intention de tuer leur victime, mais seulement de l’intimider, en la blessant précisément aux mains. En l’occurrence, l’intention homicide est incontestable. Celle-ci résulte tout d’abord des messages et propos de A.B.________, commanditaire de l’opération, qui constituent un élément décisif pour comprendre le but poursuivi par les appelants. Comme on l’a vu (cf. supra consid. 5.3), il est établi que cette dernière a, à plusieurs reprises, proféré des menaces de mort à l’encontre de S.________ et qu’elle a mandaté les intéressés pour le supprimer, en échange d’une importante somme d’argent. Les appelants ne sont pas crédibles lorsqu’ils affirment que celle-ci leur aurait uniquement demandé de blesser la victime aux mains. Comme on le verra ci-après, le déroulement de l’agression et la violence des coups portés démontrent le contraire, de même que le contact intervenu le lendemain, lors duquel A.B.________ a demandé à J.________ si S.________ était décédé pour vérifier si la mission des auteurs avait bien été exécutée avant de les payer. S’agissant de l’agression et de ses préparatifs, il faut constater que les appelants, ainsi que Z.________, ont quitté la région parisienne, non pas les mains vides, mais en emportant deux machettes, soit des armes tranchantes et dangereuses, ainsi qu’un spray au poivre. Déjà à suivre les explications des appelants, ceux-ci sont venus en Suisse avec des intentions criminelles, mais le fait de se munir de ces objets particuliers constitue un indice laissant supposer une volonté homicide. Une fois arrivés à Lausanne, ils se sont d’abord rendus à l’appartement de S.________, sans toutefois le trouver, puis, le lendemain, après avoir été renseignés par la commanditaire, ont attendu dans un parc, près du lieu où leur future victime stationnait son scooter, garant leur véhicule à proximité, ce qui leur permettait de prendre la fuite rapidement. Lorsqu’ils ont aperçu leur victime, ils sont descendus du parc, l’un derrière l’autre. W.________, muni du spray au poivre, était devant. Il a immédiatement vidé son spray au visage et dans les yeux de S.________, non pas pour éviter que celui-ci ne les reconnaisse, comme le prétendent les appelants, mais pour le surprendre, le neutraliser et le priver de tout moyen de défense. Les explications des appelants quant à la raison de l’utilisation de ce spray ne sont effet pas convaincantes, puisqu’il faisait nuit, qu’ils étaient habillés de vêtements sombres et que, de toute manière, la victime ne les connaissait pas. L’intention homicide est caractérisée, d’une part, par l’organisation décrite ci-dessus et, d’autre part et surtout, par l’extrême violence des coups de machette qui ont suivi l’aveuglement de S.________. A cet égard, celui-ci a indiqué que les coups avaient été donnés de manière circulaire de haut en bas, que ceux-ci visaient sa tête et qu’il s’était protégé avec les bras, en les levant devant son visage. Il était tombé sur une moto, puis s’était accroupi sur le sol, toujours en se protégeant le visage. Il avait reçu cinq à six coups de machette (PV d’audition n° 9, R. 5, pp. 2 et 3). Les photographies prises lors de la reconstitution du 23 septembre 2021 reproduisent cette dynamique (cf. P. 212). Il n’existe aucune raison de douter des déclarations de la victime. Celles-ci sont en effet corroborées par le tableau lésionnel constaté par le CURML, les plaies des membres supérieurs évoquant des lésions de défense (P. 69, p. 18). De plus, le fait que S.________ se soit accroupi – et non entièrement couché au sol comme l’a indiqué F.________ lors de la reconstitution – est corroboré par les traces de sang maculant la scène de crime, notamment le mur (P. 16). Comme l’ont relevé les premiers juges, la position du bras de S.________, soit fléchis devant le visage, les paumes des mains ouvertes, permet d’expliquer logiquement les nombreuses lésions constatées sur sa personne. On comprend aussi comment un coup de machette venant de haut en bas a pu quasiment sectionner en deux sa main gauche. Cette position permet également d’expliquer la fracture du tiers distal de l’ulna gauche. Les constatations du CURML démontrent ainsi que l’appelant F.________ ne pouvait pas avoir la maîtrise des coups qu’il portait, les médecins-légistes ayant par ailleurs considéré qu’il était plausible, au vu des blessures infligées, que la vie de S.________ ait été concrètement mise en danger. En définitive, les coups portés en direction du visage et les gestes adoptés, soit des gestes circulaires de haut en bas, indiquent clairement que les appelants ont fait preuve de la plus extrême violence, agissant par surprise sans laisser la moindre chance à leur victime, et qu’ils ont cherché à atteindre sa tête, si ce n’est sa gorge. Enfin, la Cour de céans retiendra que les appelants se sont enfuis sans mener à terme leur action meurtrière, non pas parce qu’ils n’auraient pas eu d’intention homicide, mais par manque de temps en raison de l’intervention d’une passante, qui a indiqué à la police avoir « crié le plus fort possible avec l’espoir que la bagarre s’arrête » et ce, jusqu’au moment où les trois individus, sont partis, en courant (PV d’audition n° 7, R. 5, p. 2), et non en marchant comme l’a prétendu F.________. Au vu de l’ensemble des éléments qui précèdent, la Cour de céans retient, sans l’ombre d’une hésitation, que les appelants avaient l’intention d’ôter la vie à S.________ et ce, en contrepartie de la rémunération qui leur avait été promise. 5.5 L’intention homicide étant établie, il convient encore d’examiner si l’acte commis par les appelants doit être qualifié de tentative de meurtre ou d’assassinat. Sur ce point, les premiers juges ont considéré que les prévenus ne pouvaient être assimilés à des tueurs à gage professionnels. Leur passage à l’acte dénotait un certain amateurisme. Ils avaient agi sous l’emprise de l’alcool, de manière confuse et quelque peu désorganisée, avant de fuir en abandonnant leurs machettes ensanglantées, une bouteille de whisky et un mégot de cigarette. Toutefois, les prévenus s’en étaient pris à un parfait inconnu, sur mission d’une femme qu’il ne connaissait pas davantage. Ils avaient agi pour un motif financier. Par ailleurs, les explications d’ordre culturel qu’ils avaient données n’étaient pas crédibles. En effet, même si les coutumes au sein de la communauté tamoule avaient pu jouer un rôle dans cette affaire, on ne pouvait croire que trois jeunes vivant en région parisienne depuis plusieurs années se seraient déplacés jusqu’en Suisse pour abattre un inconnu pour de pures questions d’honneur. Leur mobile était ainsi parfaitement égoïste. En outre, la manière avec laquelle les prévenus avaient agi était spécialement violente. Ils avaient agressé un inconnu en pleine rue, de nuit, en lui tombant dessus avec des machettes, ce qui dénotait à l’évidence une absence particulière de scrupules. L’agression avait été incroyablement barbare, la victime s’étant retrouvée, sa main droite ne tenant plus qu’à un fil, en train de se vider de son sang sur le chemin jouxtant son domicile. L’acte des prévenus était vil et odieux. Il correspondait ainsi à la définition de l’infraction d’assassinat, dont les éléments constitutifs étaient réalisés au stade de la tentative. La Cour de céans ne voit rien à redire à cette appréciation qu’elle fait sienne. Le mobile financier est établi et démontre à lui seul le caractère particulièrement odieux du crime que les appelants ont tenté de perpétrer. L’absence de scrupules est également caractérisée par le fait d’accepter d’être employés comme tueurs à gage sur les simples déclarations d’une commanditaire, dont ils ne savaient rien en réalité. De plus, l’opération menée par les trois prévenus atteste en elle-même de l’extrême froideur de leurs actes, l’amateurisme dont ils ont fait preuve n'ayant aucune incidence sur l’absence totale d’émotion dont ils ont témoigné au moment de commettre leur crime, manifestant leur plus profond mépris pour la vie d’autrui. Leur manière d’agir, extrêmement violente, au moyen de machettes, est tout autant atroce que barbare. Partant, la condamnation des appelants pour tentative d’assassinat doit être confirmée.</w:t>
      </w:r>
    </w:p>
    <w:p>
      <w:r>
        <w:rPr>
          <w:b/>
        </w:rPr>
        <w:t>E. 4.2</w:t>
      </w:r>
    </w:p>
    <w:p>
      <w:r>
        <w:t>L’acte d’accusation indique que, le</w:t>
      </w:r>
    </w:p>
    <w:p>
      <w:r>
        <w:rPr>
          <w:b/>
        </w:rPr>
        <w:t>E. 6</w:t>
      </w:r>
    </w:p>
    <w:p>
      <w:r>
        <w:t>mois.</w:t>
      </w:r>
    </w:p>
    <w:p>
      <w:r>
        <w:rPr>
          <w:b/>
        </w:rPr>
        <w:t>E. 6.1.1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6B_183/2021 du 27 octobre 2021 consid. 1.3).</w:t>
      </w:r>
    </w:p>
    <w:p>
      <w:r>
        <w:rPr>
          <w:b/>
        </w:rPr>
        <w:t>E. 6.1.2</w:t>
      </w:r>
    </w:p>
    <w:p>
      <w:r>
        <w:t>L'art. 22 al. 1 CP, permet au juge d'atténuer la peine si l'exécution d'un crime ou d'un délit n'est pas poursuivie jusqu'à son terme ou que le résultat nécessaire à la consommation de l'infraction ne se produit pas ou ne pouvait pas se produire. Cette atténuation est facultative (ATF 137 IV 113 consid. 1.4.2). Lorsqu'elle est admise, sa mesure dépend en outre de la proximité du résultat ainsi que des conséquences effectives des actes commis (ATF 127 IV 101 consid. 2b). En d'autres termes, la réduction devra être d'autant plus faible que le résultat était proche et ses conséquences graves. Cette réduction peut de plus être compensée par une augmentation de la peine s'il existe des circonstances aggravantes, celles-ci pouvant de la sorte neutraliser les effets de circonstances atténuantes ; il en va de même en cas de concours d'infractions (ATF 127 IV 101 consid. 2b ; TF 6B_292/2017 du 14 novembre 2017 consid. 3.2).</w:t>
      </w:r>
    </w:p>
    <w:p>
      <w:r>
        <w:rPr>
          <w:b/>
        </w:rPr>
        <w:t>E. 6.2</w:t>
      </w:r>
    </w:p>
    <w:p>
      <w:r>
        <w:t>La culpabilité des appelants est extrêmement lourde. Leur mobile est odieux. Ils ont agi pour de l’argent, s’en prenant – malgré l’amateurisme qu’ils invoquent – de manière déterminée et particulièrement violente à un homme qu’ils ne connaissaient pas et auquel ils n’avaient personnellement rien à reprocher. Ils ont voulu causer sa mort à coups de machette après l’avoir lâchement aveuglé pour annihiler ses moyens de défense. La victime n’a dû sa survie qu’au passage inopiné et aux cris d’une passante qui a mis en fuite les appelants. Il n’y a pas lieu de distinguer les rôles respectifs de chacun des appelants au moment de la commission des faits, puisque tous deux, avec Z.________, ont agi de concert, avec la même intention de tuer, soit dans le même but. L’action en bande constitue en l’espèce un élément à charge. En particulier, W.________, qui se retranche derrière la seule utilisation du spray au poivre, a joué un rôle essentiel pour empêcher la victime de réagir et d’échapper au destin funeste qui l’attendait. Il doit être considéré comme un coauteur à part entière de la tentative d’assassinat. La consommation d’alcool n’est en rien à un élément à décharge. Tout au plus a-t-elle servi à motiver les appelants avant la commission de ce crime sordide. Leur collaboration à l’enquête s’est limitée au stricte minimum, les appelants n’admettant que ce qu’ils ne pouvaient plus nier au vu des éléments de preuve figurant au dossier. Ils ont en outre livré des explications fantaisistes, notamment être venus en Suisse pour y faire du camping et n’avoir été en possession de machettes que par pure coïncidence. Ils ont par ailleurs maintenu aux débats d’appel qu’ils avaient uniquement voulu blesser la victime, alors qu’ils avaient là l’occasion de s’expliquer entièrement sur les faits reprochés. Il n’y a aucune véritable remise en question. A décharge, il sera tenu compte de leur jeune âge, de la pression constante exercée sur eux par la commanditaire et du climat de violence dans lequel ils ont évolué au Sri Lanka, puis en région parisienne. S’agissant de F.________, on relève en outre qu’il a plusieurs antécédents à son casier judiciaire français. Il a notamment déjà été condamné pour des faits violence. A décharge, on tiendra compte des regrets qu’il a réitérés lors des débats d’appel, ainsi que de son évolution favorable en détention. Au vu des éléments qui précèdent, la peine privative de liberté de 11 ans prononcée en première instance est adéquate et peut être confirmée. En ce qui concerne W.________, la Cour de céans relève que son casier judiciaire français comporte une condamnation pour ivresse au volant et conduite sans permis. Par ailleurs, comme l’ont souligné les premiers juges, son évolution en détention est très favorable, le rapport de détention le concernant étant particulièrement élogieux. Lors des débats devant le Tribunal criminel, il a en outre été le premier à présenter des excuses et des regrets qu’il a réitérés en appel. Ceux-ci sont apparus sincères. Ses déclarations paraissent également montrer que, même si, comme F.________, il persiste à nier une intention homicide et avoir agi pour de l’argent, il semble toutefois prêt assumer la responsabilité de ses actes et à remettre en question son mode de fonctionnement. En conséquence, ces quelques éléments à décharge justifient une peine un peu moins élevée que celle prononcée contre F.________. Celle-ci sera fixée, comme l’ont décidé à raison les premiers juges, à 10 ans et</w:t>
      </w:r>
    </w:p>
    <w:p>
      <w:r>
        <w:rPr>
          <w:b/>
        </w:rPr>
        <w:t>E. 7</w:t>
      </w:r>
    </w:p>
    <w:p>
      <w:r>
        <w:t>Les appelants contestent la durée de l’expulsion prononcée à leur encontre, celle-ci devant, selon eux, être fixée à dix ans.</w:t>
      </w:r>
    </w:p>
    <w:p>
      <w:r>
        <w:rPr>
          <w:b/>
        </w:rPr>
        <w:t>E. 7.1</w:t>
      </w:r>
    </w:p>
    <w:p>
      <w:r>
        <w:t>Aux termes de l'art. 66a al. 1 let. a CP, le juge expulse de Suisse, pour une durée de cinq à quinze ans, l'étranger qui est condamné pour assassinat, quelle que soit la quotité de la peine prononcée à son encontre. Il importe peu que l’infraction ait été consommée ou soit restée au stade de la tentative (ATF 144 IV 168 consid. 1.4.1).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7.2</w:t>
      </w:r>
    </w:p>
    <w:p>
      <w:r>
        <w:t>L’expulsion judiciaire n’est pas contestée en tant que telle, les conditions de l’art. 66a al. 1 let. a CP étant du reste remplies. Les premiers juges ont considéré qu’au vu de la gravité des actes commis, la durée de cette expulsion devait être fixée à 15 ans. Celle-ci sera confirmée. On ne distingue en effet aucun élément qui justifierait, au vu de l’extrême gravité des faits, de réduire cette durée, les appelants étant résidents français, sans aucune attache Suisse. Enfin, la Cour de céans considère, pour les motifs exposés dans le jugement entrepris (cf. jgt, p. 64), qu’il n’y a pas lieu de procéder à l’inscription de cette mesure au Système d’information Schengen.</w:t>
      </w:r>
    </w:p>
    <w:p>
      <w:r>
        <w:rPr>
          <w:b/>
        </w:rPr>
        <w:t>E. 8</w:t>
      </w:r>
    </w:p>
    <w:p>
      <w:r>
        <w:t>Conformément à l’art. 51 CP, la détention subie depuis le jugement de première instance sera déduite des peines privatives de liberté prononcées contre F.________ et W.________. Pour garantir l’exécution de la peine et compte tenu du risque de fuite présenté par les appelants, qui sont domiciliés en France et n’ont aucun lien de quelque nature que ce soit avec la Suisse, leur maintien en détention en exécution anticipée de peine sera ordonné.</w:t>
      </w:r>
    </w:p>
    <w:p>
      <w:r>
        <w:rPr>
          <w:b/>
        </w:rPr>
        <w:t>E. 9</w:t>
      </w:r>
    </w:p>
    <w:p>
      <w:r>
        <w:t>Lors de débats d’appel, les appelants ont précisé leurs conclusions, en ce sens qu’ils renonçaient à contester la quotité des conclusions civiles allouées en première instance (cf. supra p. 9). Il n’y a dès lors pas lieu d’examiner ce grief.</w:t>
      </w:r>
    </w:p>
    <w:p>
      <w:r>
        <w:rPr>
          <w:b/>
        </w:rPr>
        <w:t>E. 10</w:t>
      </w:r>
    </w:p>
    <w:p>
      <w:r>
        <w:t>En définitive, les appels de F.________ et W.________ doivent être rejetés et le jugement entrepris confirmé. Me Ludovic Tirelli, défenseur d’office de F.________, a produit une liste d’opérations dans laquelle il indique une activité nécessaire d’avocat de 27h20, hors temps d’audience (estimé à 5h00), dont 13h40 consacrées à la révision du dossier, à la préparation de l’audience et à la rédaction de la plaidoirie, ce qui est excessif compte tenu de la nature et de la complexité de la cause, ainsi que de la connaissance du dossier acquise en première instance. Il sera retenu 6h00 pour l’ensemble de ces postes. Par ailleurs, le temps estimé pour les débats d’appel, soit 5h00, sera ramené à leur durée effective, à savoir 3h30. Enfin, le temps consacré au déplacement de l’avocat à Gorgier, soit 3h30, sera indemnisé à raison de 120 fr./h, soit par 420 francs. L’indemnité due sera dès lors fixée à 1’125 fr. (6h15 x 180 fr.), plus des débours forfaitaires, par 22 fr. 50, et la TVA à 7,7 %, par 88 fr. 35, soit à un total de 1'235 fr. 85 pour les opérations effectuées jusqu’au 31 décembre 2023, et à 2’415 fr. (13h25 x 180 fr.), plus une vacation à Gorgier, par 420 fr. et une vacation au tribunal, par 120 fr., les débours, par 48 fr. 30, et la TVA à 8,1 %, par 243 fr. 25, soit à un total de 3'246 fr. 55 pour les opérations effectuées depuis le 1 er janvier 2024. Au total, l’indemnité due sera donc fixée à 4'482 fr. 40, TVA et débours inclus. A cet égard, les chiffres VI et IX du dispositif communiqué aux parties contiennent une erreur de calcul manifeste en ce sens qu’ils mentionnent une indemnité de 4’395 fr. 95. En application de l’art. 83 CPP, le dispositif sera dès lors rectifié d’office sur ce point. Me Philippe Dal Col, défenseur d’office de W.________, a produit une liste d’opérations dans laquelle il indique une activité nécessaire d’avocat de 23h30, hors temps d’audience (estimé à 4h00), dont 13h30 consacrées à du « travail sur dossier » et à la préparation de l’audience, ce qui est excessif compte tenu de la nature et de la complexité de la cause, ainsi que de la connaissance du dossier acquise en première instance. Il sera retenu 6h00 pour ces activités. Par ailleurs, le temps estimé pour les débats d’appel, soit 4h00, sera ramené à leur durée effective, à savoir 3h30. L’indemnité due sera dès lors fixée à 423 fr. (2h21 x 180 fr.), plus des débours forfaitaires, par 8 fr. 45, et la TVA à 7,7 %, par 33 fr. 20, soit à un total de 464 fr. 65 pour les opérations effectuées jusqu’au 31 décembre 2023, et à 3’087 fr. (17h09 x 180 fr.), plus deux vacations, par 240 fr., les débours, par 61 fr. 75, et la TVA à 8,1 %, par 255 fr. 05, soit à un total de 3’403 fr. 80 pour les opérations effectuées depuis le 1 er janvier 2024. Au total, l’indemnité due sera donc fixée à 3'868 fr. 45, TVA et débours inclus. A cet égard, les chiffres VII et IX du dispositif communiqué aux parties contiennent une erreur de calcul manifeste en ce sens qu’ils mentionnent une indemnité de 4’656 fr. 50. En application de l’art. 83 CPP, le dispositif sera dès lors rectifié d’office sur ce point. Me Coralie Germond, conseil juridique gratuit de S.________, a produit une liste d’opérations dans laquelle elle indique une activité nécessaire d’avocat de 8h40, ce qui est adéquat. Il sera ajouté 3h30 pour tenir compte des débats d’appel. Ainsi, c’est une activité nécessaire d’avocat de 12h10 qui sera retenue. L’indemnité de conseil juridique gratuit doit ainsi être fixée à 90 fr. (0h30 x 180 fr.), plus des débours forfaitaires, par 1 fr. 80, et la TVA à 7,7 %, par 7 fr. 05, soit à un total de 98 fr. 85 pour les opérations effectuées jusqu’au 31 décembre 2023, et à 2'100 fr. (11h40 x 180 fr.), plus une vacation à 120 fr., les débours, par 42 fr., et la TVA à 8,1 %, par 183 fr. 20, soit à un total de 2'445 fr. 20 pour les opérations effectuées depuis le 1 er janvier 2024. Au total, l’indemnité due sera donc fixée à 2’544 fr. 05, TVA et débours inclus. Vu l’issue de la cause, les frais de la procédure d’appel, constitués de l’émolument de jugement et d’audience, par 4’660 fr. (art. 21 al. 1 et 2 TFIP [tarif des frais de procédure et indemnités en matière pénale du 28 septembre 2010 ; BLV 312.03.1]), seront mis à la charge de F.________ et W.________, par moitié chacun, soit par 2'330 fr. chacun. Chacun d’eux supportera en outre l’indemnité en faveur de son défenseur d’office, soit 4'482 fr. 40 pour F.________ et 3'868 fr. 45 pour W.________, ainsi que la moitié de l’indemnité en faveur du conseil juridique gratuit du plaignant, soit 1'272 fr. chacun. F.________ et W.________ seront tenus chacun de rembourser à l’Etat l’indemnité en faveur de leurs défenseurs d’office et la moitié de l’indemnité en faveur du conseil juridique gratuit de S.________ dès que leur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