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 vom 16. Juni 2023</w:t>
      </w:r>
    </w:p>
    <w:p>
      <w:r>
        <w:t>VD Tribunal cantonal, 2023-06-16, FR</w:t>
      </w:r>
    </w:p>
    <w:p>
      <w:r>
        <w:rPr>
          <w:b/>
        </w:rPr>
        <w:t xml:space="preserve">Quelle: </w:t>
      </w:r>
      <w:r>
        <w:t>https://mcp.opencaselaw.ch/entscheid/vd_findinfo_Jug___2024___29</w:t>
      </w:r>
    </w:p>
    <w:p>
      <w:r>
        <w:t>FR: VD_FINDINFO Jug / 2024 / 29 du 16 juin 2023</w:t>
      </w:r>
    </w:p>
    <w:p>
      <w:r>
        <w:t>IT: VD_FINDINFO Jug / 2024 / 29 del 16 giugno 2023</w:t>
      </w:r>
    </w:p>
    <w:p>
      <w:pPr>
        <w:pStyle w:val="Heading2"/>
      </w:pPr>
      <w:r>
        <w:t>Regeste</w:t>
      </w:r>
    </w:p>
    <w:p>
      <w:r>
        <w:t>AMENDE, PEINE PRIVATIVE DE LIBERTÉ DE SUBSTITUTION, FIXATION DE LA PEINE, PEINE PRIVATIVE DE LIBERTÉ, CONCOURS RÉEL, PEINE COMPLÉMENTAIRE, VOL{DROIT PÉNAL}, RUPTURE DE BAN, LOI FÉDÉRALE SUR LES STUPÉFIANTS ET LES SUBSTANCES PSYCHOTROPES, DÉTENTION PROVISOIRE | 106 CP, 139 ch. 1 CP, 291 CP, 40 CP, 41 CP, 47 CP, 49 al. 1 CP, 49 al. 2 CP, 51 CP, 69 CP, 19a ch. 1 LStup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Ministère public qui a la qualité pour recourir (art. 381 al. 1 CPP), l’appel d’D.________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Le Ministère public reproche au premier juge de n’avoir retenu que l’infraction de rupture de ban en lien avec le chiffre 1 de l’ordonnance pénale du 21 octobre 2022 (cf. supra consid. 2.1), alors que l’infraction de séjour illégal au sens de l’art. 115 al. 1 let. b LEI était également remplie, dès lors que la transgression d’une interdiction d’entrée en Suisse est exclusivement réprimée par cette dernière disposition.</w:t>
      </w:r>
    </w:p>
    <w:p>
      <w:r>
        <w:rPr>
          <w:b/>
        </w:rPr>
        <w:t>E. 3.2</w:t>
      </w:r>
    </w:p>
    <w:p>
      <w:r>
        <w:t>Aux termes de l'art. 291 CP (Code pénal suisse du 21 décembre 1937 ; RS 311.0),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 et les références citées). La rupture de ban est un délit continu qui est réalisé aussi longtemps que dure le séjour illicite (ATF 147 IV 232 consid. 1.1 ; ATF 135 IV 6 consid. 3.2). La rupture de ban constitue un délit contre l'autorité publique (titre quinzième du CP ; cf. ATF 147 IV 232 consid. 1.6 et les réf. cit.). Elle vise à garantir l'exécution des décisions d'expulsion prises par les autorités judiciaires ou administratives (Dupuis et al., Petit commentaire du Code pénal, 2 e éd., 2017, n. 2 ad art. 291). Par l'art. 291 CP, on veut assurer l'efficacité de l'expulsion, sorte de disposition spéciale par rapport à l'art. 292 CP (Freytag/Bürgin, in Basler Kommentar, Strafrecht II, 4 e éd. 2019, n. 13 et 45 ad art. 291). L'art. 115 al. 1 let. a et b LEI (loi fédérale sur les étrangers et l'intégration du 16 décembre 2005 ; RS 142.20),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(ATF 147 IV 253 consid. 2.2.1 ; ATF 147 IV 232 consid. 1.1 ; ATF 104 IV 186 consid 5b ; ATF 100 IV 244 consid. 1). L'art.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 115 LEI qui s'applique (ATF 147 IV 232 consid. 1.1 et les réf. cit.). Il est admis en doctrine que le comportement réprimé par l'art. 115 al. 1 (let. a et b) LEI consistant à entrer ou rester en Suisse en violation d'une règle administrative est identique à celui réprimé par l'art. 291 CP. Ainsi, celui qui commet une rupture de ban en demeurant en Suisse malgré une décision d'expulsion, réalise également les éléments constitutifs du séjour illégal au sens de l'art. 115 al. 1 let. b LEI, disposition qui a un caractère subsidiaire par rapport à l'art. 291 CP (ATF 147 IV 232 consid. 1.1 et les réf. cit.). L'infraction est intentionnelle, mais le dol éventuel suffit (Aude Bichossky, in : Macaluso/Moreillon/Queloz [éd.], Commentaire romand, Code pénal II, Bâle 2017, n. 15 ad art. 291 CP).</w:t>
      </w:r>
    </w:p>
    <w:p>
      <w:r>
        <w:rPr>
          <w:b/>
        </w:rPr>
        <w:t>E. 3.3</w:t>
      </w:r>
    </w:p>
    <w:p>
      <w:r>
        <w:t>Le Tribunal de police a considéré à juste titre que l’infraction de rupture de ban prime et exclut l’infraction à la LEI. En effet, conformément à la jurisprudence précitée, dès lors que le prévenu a contrevenu à l’expulsion prononcée à son encontre le 28 janvier 2022, c’est l’art. 291 CP réprimant la rupture de ban qui est exclusivement applicable. L’infraction de séjour illégal au sens de la LEI est subsidiaire et n’intervient qu’à défaut de rupture de ban, quand bien même ses éléments constitutifs sont également remplis. L’appel du Ministère public sera rejeté sur ce point.</w:t>
      </w:r>
    </w:p>
    <w:p>
      <w:r>
        <w:rPr>
          <w:b/>
        </w:rPr>
        <w:t>E. 4.1</w:t>
      </w:r>
    </w:p>
    <w:p>
      <w:r>
        <w:t>Le Ministère public fait ensuite valoir que les faits décrits au chiffre 3 de l’ordonnance pénale du 21 octobre 2022 (cf. supra consid. 2.3) auraient dû être retenus à l’encontre du prévenu.</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 cit.).</w:t>
      </w:r>
    </w:p>
    <w:p>
      <w:r>
        <w:rPr>
          <w:b/>
        </w:rPr>
        <w:t>E. 4.3</w:t>
      </w:r>
    </w:p>
    <w:p>
      <w:r>
        <w:t>Le premier juge a libéré l’intimé au bénéfice du doute s’agissant du chiffre 3 de l’ordonnance pénale au motif que celui-ci prétendait avoir été, au moment des faits, chez sa copine, dont il avait donné l’adresse exacte, et que les images de vidéosurveillance ne permettaient pas une identification sérieuse. Ce raisonnement ne saurait être suivi. La Cour de céans constate en premier lieu que les images de vidéosurveillance provenant du salon de coiffure voisin mettent clairement en cause l’intimé. La photographie extraite de la vidéo (P. 5/2), comparée à la photographie faite du prévenu dans une position similaire pour les besoins de la cause le 20 octobre 2022 (P. 5/3), suffit à l’identifier sans qu’un doute insurmontable ne subsiste. Bien que la qualité de la première image soit médiocre, il n’en demeure pas moins que des traits de visage hautement similaires, en lien avec l’implantation de la barbe et le nez notamment, peuvent être observés sur les deux clichés. Il s’agit du reste de la conclusion à laquelle est parvenue la police dans son rapport (P. 5/1, p. 8). En second lieu, le prévenu a expliqué aux débats de première instance qu’il se trouvait au moment des faits à Genève, chez sa copine, et a fourni l’adresse de celle-ci (cf. jugement, p. 4), ce qu’il a confirmé à l’audience d’appel (cf. supra, p. 3). Or, lors de sa première audition devant la police le 20 octobre 2022, confronté aux faits, il s’est gardé d’évoquer cet alibi (PV aud. 1, R. 9), et s’est contenté de mentionner le lendemain devant la procureure qu’il se trouvait à Genève (cf. PV aud. 4, l. 36). Aucun crédit ne peut être donné aux explications de l’intimé. Si cet alibi était avéré, force est d’admettre qu’il en aurait aussitôt fait part, puisque sa copine aurait pu le confirmer. Il s’agit uniquement d’une échappatoire. Il existe par conséquent un faisceau d’indices suffisant pour se convaincre qu’D.________ est bien l’auteur des faits décrits au chiffre 3 de l’ordonnance pénale du 21 octobre 2022. Il s’ensuit que l’appel du Ministère public sera admis à cet égard.</w:t>
      </w:r>
    </w:p>
    <w:p>
      <w:r>
        <w:rPr>
          <w:b/>
        </w:rPr>
        <w:t>E. 5.1</w:t>
      </w:r>
    </w:p>
    <w:p>
      <w:r>
        <w:t>Le Ministère public fait encore valoir que les faits décrits au chiffre 6 de l’ordonnance pénale (cf. supra consid. 2.6) auraient également dû être retenus par le tribunal de première instance à l’encontre d’D.________.</w:t>
      </w:r>
    </w:p>
    <w:p>
      <w:r>
        <w:rPr>
          <w:b/>
        </w:rPr>
        <w:t>E. 5.2</w:t>
      </w:r>
    </w:p>
    <w:p>
      <w:r>
        <w:t>Le premier juge n’a pas imputé les faits en question au prévenu aux motifs qu’aucun lésé ne s’était déclaré et que les deux comparses s’étaient mutuellement renvoyés la responsabilité lors de leurs auditions. On ne saurait suivre l’autorité de première instance. Le 20 octobre 2022 à 4h31, un témoin a signalé à la police que deux individus s’intéressaient à des véhicules en stationnement. D.________ et R.________, qui correspondaient au signalement donné (P. 11), ont ensuite été interpellés à proximité du lieu de celui-ci (P. 5/1, p. 6). Si les deux hommes se sont rejeté la faute pour ce cas (cf. PV aud. 1, R. 7 ; PV aud. 2, R. 15 ; PV aud. 4, ll. 49-50), ils ont néanmoins commis de concert les faits retenus sous chiffres 4 et 5 de l’ordonnance pénale. Ces faits concernaient également des vols dans des véhicules, survenus le même soir que les faits décrits sous chiffre 6 et selon le même modus operandi . A la suite du signalement susmentionné, les deux prévenus ont été interpellés ensemble. Cela ne peut être le fruit d’une coïncidence. La Cour de céans relève encore qu’au moment de son interpellation, l’intimé se trouvait en possession du porte-monnaie volé (P. 11). Il a ensuite été inconstant dans ses explications, déclarant tantôt qu’il l’aurait reçu en cadeau de R.________ (PV aud. 2, R. 10 ; PV aud. 4, ll. 43-45), tantôt qu’il l’aurait obtenu contre de la cocaïne (P. 11). L’ensemble des éléments qui précèdent permettent en tous les cas de se convaincre que les deux compatriotes ont commis ensemble les délits qui leurs sont reprochés, tant ceux décrits aux chiffres 4 et 5 de l’ordonnance pénale que celui décrit au chiffre 6, sans qu’aucun doute raisonnable ne subsiste. Au surplus, le fait que personne ne se soit annoncé pour le vol du véhicule en lien avec ce cas n’est pas un élément décisif, dès lors que l’infraction de vol se poursuit d’office (cf. art. 139 ch. 1 CP). L’appel du Ministère public doit également être admis sur ce point.</w:t>
      </w:r>
    </w:p>
    <w:p>
      <w:r>
        <w:rPr>
          <w:b/>
        </w:rPr>
        <w:t>E. 6.1</w:t>
      </w:r>
    </w:p>
    <w:p>
      <w:r>
        <w:t>Enfin, le Ministère public conteste la peine. Outre le fait qu’elle ne tient pas compte du séjour illégal, qui doit être retenu en concours selon lui, il estime que le Tribunal de police n’a pas suffisamment tenu compte des très nombreux antécédents du prévenu pour des infractions similaires et que la peine infligée ne revêt aucun caractère dissuasif. Il requiert une peine privative de liberté de 150 jours, sanction partiellement complémentaire à celle rendue le 7 octobre 2022 par le Staatsanwaltschaft des Kanton Basel-Stadt, et complémentaire à celles rendues le 13 décembre 2022 par le Ministère public du canton du Valais, Office régional du Valais central, et le 17 mars 2023 par le Ministère public du canton de Fribourg</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6.3.1</w:t>
      </w:r>
    </w:p>
    <w:p>
      <w:r>
        <w:t>En définitive, D.________ s’est rendu coupable de rupture de ban, de vol pour les chiffres 3 à 6 de l’ordonnance pénale du 21 octobre 2022, et de contravention à la loi fédérale sur les stupéfiants. Ces infractions sont intervenues dans un espace-temps restreint et rapidement après sa sortie de prison le 13 août 2022, alors qu’il purgeait une peine privative de liberté de 10 mois, notamment pour vol par métier. Sa culpabilité est importante. A charge, il faut encore tenir compte des nombreux antécédents du prévenu, qui a déjà été condamné à vingt reprises pour des faits similaires, soit des vols ou des séjours illégaux, entre 2013 et octobre 2022. D.________, qui est durablement inscrit dans la délinquance, ne parvient toujours pas à s’amender. Il ne fait preuve d’aucune remise en question, ni même de prise de conscience, en niant les évidences. Il continue inlassablement à pénétrer illégalement sur le territoire suisse pour y commettre des vols, en dépit des sanctions infligées, lesquelles n’ont manifestement aucun effet dissuasif sur son comportement. Il n’y a pas d’élément à décharge, si ce n’est la précarité dans laquelle vit le prévenu.</w:t>
      </w:r>
    </w:p>
    <w:p>
      <w:r>
        <w:rPr>
          <w:b/>
        </w:rPr>
        <w:t>E. 6.3.2</w:t>
      </w:r>
    </w:p>
    <w:p>
      <w:r>
        <w:t>Pour des motifs de prévention spéciale, et au vu des nombreuses précédentes peines de prison d’ores et déjà infligées au prévenu, seule une nouvelle peine privative de liberté est de nature à sanctionner adéquatement D.________, multirécidiviste et insolvable, s'agissant des infractions passibles d'une telle peine. Le prévenu a été condamné le 7 octobre 2022 par le Staatsanwaltschaft des Kanton Basel-Stadt pour rupture de ban à une peine privative de liberté de 120 jours et pour vol d’importance mineure à une amende de 1'000 francs. Cette condamnation est entrée en force après la commission du vol du 15 septembre 2022 (chiffre 3 de l’ordonnance pénale du 21 octobre 2022), lequel doit également être sanctionné d’une peine privative de liberté. On se trouve dans la situation d’un concours rétrospectif au sens de l’art. 49 al. 2 CP. La sanction réprimant le vol constitue la peine de départ, étant l’infraction abstraitement la plus grave (cf. art. 139 ch. 1 CP). Par le mécanisme du concours (art. 49 ch. 1 CP), cette peine doit être aggravée pour la rupture de ban. La peine d’ensemble hypothétique sera fixée à 150 jours de peine privative de liberté, soit 80 jours pour le vol et 70 jours pour la rupture de ban. La peine de base étant de 120 jours, la peine complémentaire à prononcer sera de 30 jours. Le prévenu ayant déjà été condamné le 7 octobre 2022 pour la rupture de ban sur la période allant du 13 août au 7 octobre 2022 (cf. chiffre 2 de l’ordonnance pénale), aucune nouvelle sanction ne peut être prononcée eu égard à l’art. 11 al. 1 CPP. Le prévenu a ensuite été condamné le 13 décembre 2022 par le Ministère public du Valais pour violation de domicile à une peine privative de liberté de 10 jours et pour vol d’importance mineure et à une amende de 300 fr., ainsi que le 17 mars 2023 par le Ministère public de Fribourg pour rupture de ban, sans peine additionnelle. Les trois vols commis le 20 octobre 2022 (chiffres 4, 5 et 6 de l’ordonnance pénale du 21 octobre 2022) doivent également faire l’objet d’une peine complémentaire conformément à l’art. 49 al. 2 CP. La sanction réprimant ces vols est la peine de départ. Cette peine sera aggravée pour la violation de domicile, la rupture de ban n’ayant fait l’objet d’aucune peine additionnelle. La peine d’ensemble hypothétique sera fixée à 160 jours de peine privative de liberté, soit 150 jours pour les trois vols et 10 jours pour la violation de domicile. La peine de base étant de 10 jours, la peine complémentaire à prononcer sera de 150 jours. Le prévenu ayant déjà été condamné le 17 mars 2023 pour la rupture de ban sur la période allant du 7 au 20 octobre 2022 (cf. chiffre 2 de l’ordonnance pénale), aucune nouvelle sanction ne peut être prononcée eu égard à l’art. 11 al. 1 CPP. Fondé sur ce qui précède, il faut retenir une peine privative de liberté de 180 jours, sous déduction de 3 jours de détention avant jugement, sanction partiellement complémentaire à celles prononcées par le Staatsanwaltschaft des Kanton Basel-Stadt le 7 octobre 2022, par le Ministère public du canton du Valais, Office régional du Valais central, le 13 décembre 2022 et par le Ministère public du canton de Fribourg le 17 mars 2023. Le pronostic de l’intimé étant assurément défavorable, aucun sursis ne peut être envisagé. L’amende de 300 fr. venant sanctionner la contravention à la loi fédérale sur les stupéfiants est adéquate et sera confirmée, tout comme la peine de substitution de 3 jours assortie à celle-ci. Cette peine est partiellement complémentaire à celles du Staatsanwaltschaft des Kanton Basel-Stadt du 7 octobre 2022 et du Ministère public du canton du Valais, Office régional du Valais central, du 13 décembre 2022.</w:t>
      </w:r>
    </w:p>
    <w:p>
      <w:r>
        <w:rPr>
          <w:b/>
        </w:rPr>
        <w:t>E. 7</w:t>
      </w:r>
    </w:p>
    <w:p>
      <w:r>
        <w:t>La plaignante et partie civile J.________ a conclu à l’octroi d’une somme de 1'300 fr. pour le vol de son téléphone portable (P. 6 et 30). Elle n’a toutefois produit aucun justificatif concernant le montant de l’objet volé, qu’elle ne fait qu’estimer. Ses conclusions sont insuffisamment motivées et elle sera renvoyée à agir devant le juge civil. A cet égard, en application de l’art. 83 CPP, le chiffre II/VIII du dispositif du présent jugement doit être rectifié d’office sur ce point, n’ayant pas été modifié ensuite d’une inadvertance manifeste.</w:t>
      </w:r>
    </w:p>
    <w:p>
      <w:r>
        <w:rPr>
          <w:b/>
        </w:rPr>
        <w:t>E. 8</w:t>
      </w:r>
    </w:p>
    <w:p>
      <w:r>
        <w:t>Il résulte de ce qui précède que l’appel du Ministère public doit être partiellement admis et le jugement réformé dans le sens des considérants qui précèdent. Me Astyanax Peca, défenseur d’office d’D.________, a produit une liste d’opérations (P. 48) faisant état de 2h10 d’activité d’avocat et de 6h45 d’activité d’avocat-stagiaire. Il n’y a pas lieu de s’en écarter si ce n’est pour réduire de 1 heure la durée de l’audience d’appel estimée à 2 heures. C’est donc une indemnité d’un montant total de 1'300 fr., montant correspondant à une durée de 2h10 d’activité d’avocat breveté au tarif horaire de 180 fr., soit 390 fr., ainsi qu’à une durée de 5h45 d’activité d’avocat stagiaire au tarif horaire de 110 fr., soit 632 fr. 50, 20 fr. 45 de débours forfaitaires au taux de 2 %, deux vacations à 80 fr. et 96 fr. 05 de TVA (art. 2 al. 1 let. a et 3bis al. 1 et al. 3 RAJ), qui doit être allouée à Me Astyanax Peca. Vu l’issue de la cause, les frais de la procédure d’appel, par 3’570 fr. constitués en l’espèce de l’émolument de jugement, par 2’270 fr. (art. 422 al. 1 CPP ; 21 al. 1 et 2 TFIP [Tarif des frais de procédure et indemnités en matière pénale du 28 septembre 2010, BLV 312.03.1]), ainsi que de l’indemnité allouée au défenseur d’office d’D.________, par 1'300 fr., seront mis par moitié à la charge de celui-ci (art. 428 al. 1 CPP). D.________ ne sera tenu de rembourser à l’Etat la moitié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