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285 vom 21. November 2023</w:t>
      </w:r>
    </w:p>
    <w:p>
      <w:r>
        <w:t>VD Tribunal cantonal, 2023-11-21, FR</w:t>
      </w:r>
    </w:p>
    <w:p>
      <w:r>
        <w:rPr>
          <w:b/>
        </w:rPr>
        <w:t xml:space="preserve">Quelle: </w:t>
      </w:r>
      <w:r>
        <w:t>https://mcp.opencaselaw.ch/entscheid/vd_findinfo_Jug___2024___285</w:t>
      </w:r>
    </w:p>
    <w:p>
      <w:r>
        <w:t>FR: VD_FINDINFO Jug / 2024 / 285 du 21 novembre 2023</w:t>
      </w:r>
    </w:p>
    <w:p>
      <w:r>
        <w:t>IT: VD_FINDINFO Jug / 2024 / 285 del 21 novembre 2023</w:t>
      </w:r>
    </w:p>
    <w:p>
      <w:pPr>
        <w:pStyle w:val="Heading2"/>
      </w:pPr>
      <w:r>
        <w:t>Regeste</w:t>
      </w:r>
    </w:p>
    <w:p>
      <w:r>
        <w:t>LÉSION CORPORELLE SIMPLE, VOIES DE FAIT, MENACE{DROIT PÉNAL}, INJURE, CONTRAINTE{DROIT PÉNAL}, CONTRAINTE SEXUELLE, VIOL | 123 ch. 1 CP, 123 ch. 2 al. 6 CP, 126 al. 1 CP, 126 al. 2 CP, 177 al. 1 CP, 180 al. 1 CP, 180 al. 2 let. b CP, 181 CP, 189 al. 1 CP, 190 al. 1 CP, 19a ch. 1 LStup, 115 al. 1 let. b LEI</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2.2</w:t>
      </w:r>
    </w:p>
    <w:p>
      <w:r>
        <w:t>; ATF 138 IV 120 précité consid. 5.2). Si les sanctions envisagées concrètement ne sont pas du même genre, elles doivent être prononcées cumulativement (ATF 144 IV 313 précité consid. 1.1 ; ATF 142 IV 265 précité consid. 2.3.2). La peine privative de liberté et la peine pécuniaire ne sont pas des sanctions du même genre (ATF 144 IV 313 précité consid. 1.1 ; ATF 144 IV 217 précité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w:t>
      </w:r>
    </w:p>
    <w:p>
      <w:r>
        <w:rPr>
          <w:b/>
        </w:rPr>
        <w:t>E. 3.1</w:t>
      </w:r>
    </w:p>
    <w:p>
      <w:r>
        <w:t>Invoquant une violation de la présomption d’innocence, l’appelant reproche aux premiers juges d’avoir préféré les déclarations de la plaignante, alors que celles-ci seraient empreintes de contradictions et manifestement exagérées. Il relève que la fille de la plaignante, C.H.________, qui habitait avec le couple, n’aurait rien entendu, ni vu les coups que sa mère avait prétendu avoir reçus durant la nuit de Pâques 2019 et qu’elle avait affirmé que la situation avait commencé à se dégrader au mois de septembre 2020. Il indique également que la plaignante n’avait pas mis fin à la relation qu’elle qualifiait d’enfer, alors qu’il était incarcéré, et qu’elle était au contraire venue le voir en prison chaque semaine. Il soutient que la plaignante se serait également contredite sur les violences subies en 2019.</w:t>
      </w:r>
    </w:p>
    <w:p>
      <w:r>
        <w:rPr>
          <w:b/>
        </w:rPr>
        <w:t>E. 3.2</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w:t>
      </w:r>
    </w:p>
    <w:p>
      <w:r>
        <w:rPr>
          <w:b/>
        </w:rPr>
        <w:t>E. 3.3.1</w:t>
      </w:r>
    </w:p>
    <w:p>
      <w:r>
        <w:t>Comme les premiers juges, la Cour de céans retiendra la version des faits de la victime pour les motifs suivants. Il est tout d’abord relevé que la plaignante est crédible. Ses déclarations sont mesurées, claires, constantes et convaincantes. Ainsi, elle a déposé plainte le 27 mai 2021, mentionnant les injures, les violences subies le dimanche de Pâques 2019, les violences physiques qui sont devenues de plus en plus régulières dès la fin de l’année 2020, les menaces de mort, les violences sexuelles, la peur ressentie et le fait qu’elle n’arrivait pas à mettre fin à sa relation avec le prévenu (cf. P. 4). Lors de son audition du 10 juin 2021, elle a détaillé les violences subies, mentionnant les injures, les crises de colère du prévenu environ tous les 10 jours en 2019, les coups et les menaces. Elle a expliqué que les premiers gestes violents avaient eu lieu le dimanche de Pâques 2019, relevant qu’elle n’avait pas parlé de cet épisode à ses filles ni à quelqu’un d’autre. Elle a indiqué qu’il y avait eu d’autres épisodes de violences en 2019, même s’ils n’étaient pas similaires en intensité à celui de Pâques, mais qu’il arrivait à l’appelant de la bousculer, de lui mettre la main sur la bouche en lui disant qu’il allait l’étouffer, de la menacer de la tuer en lui disant qu’il allait la donner aux cochons ou la cacher dans la forêt de [...] et de lui donner des coups au niveau des bras, des jambes et du ventre, ce qui lui causait des bleus et arrivait tous les mois à un mois et demi et que les insultes étaient peu à peu devenues quotidiennes. Elle a déclaré qu’elle était allée le voir chaque semaine en détention, qu’à sa sortie les coups n’avaient pas repris tout de suite, que les violences avaient recommencé vers l’automne 2020, que le prévenu la contrôlait, qu’il lui avait donné un coup de poing sur la cuisse, ce qui avait causé un bleu que sa fille avait photographié, qu’il y avait eu d’autres épisodes de violence par la suite qu’elle ne pouvait pas dater précisément, que ceux-ci étaient devenus de plus en plus réguliers jusqu’à une fois par semaine, que le prévenu avait proféré des menaces de mort et qu’elle avait subi des violences sexuelles le 26 ou 27 mai 2021, puis à une autre reprise en 2021 (cf. PV aud. n°4). Le fait que la plaignante n’ait pas immédiatement dénoncé le prévenu et lui ait rendu visite alors qu’il était incarcéré ne permet pas de douter de sa crédibilité. En effet, il est notoire qu’il est difficile de dénoncer rapidement les violences domestiques, en raison de l’emprise exercée sur la victime, du sentiment d’impuissance de cette dernière ou de son isolement. C’est d’ailleurs précisément ces phénomènes qu’a rapportés E.________. Celle-ci a déclaré que le prévenu l’avait complètement manipulée, qu’elle était sous son emprise, qu’elle avait des sentiments pour lui et qu’elle était terrorisée. Elle a également bien expliqué pourquoi elle était allée le voir en prison, relevant qu’il était gentil au début pour qu’elle vienne le voir et qu’il lui mettait aussi la pression, en lui disant qu’il connaissait des gens dehors (cf. PV aud. n° 4). Les déclarations de la plaignante sont en outre confirmées par plusieurs pièces médicales. Ainsi, dans le cadre d’un examen du 9 novembre 2020, [...], responsable CILE, a remarqué de nombreuses ecchymoses sur le ventre de la plaignante et l’a questionnée. Elle paraissait gênée par les questions. Il a insisté et lui a demandé si quelqu’un l’avait maltraitée. E.________ a fini par répondre par l’affirmative et qu’il s’agissait de l’appelant, étant rappelé qu’elle n’était pas allée voir ce spécialiste pour lui faire part des maltraitances subies. L’intervenant lui a conseillé de porter plainte, afin d’être protégée. Il a également dit à E.________ que si elle était en danger ou séquestrée, elle devait revenir au cabinet (cf. P. 49). Dans son rapport du 30 juillet 2021, le Dr [...] a expliqué avoir évoqué ce qui lui avait été dit par [...] avec sa patiente. La plaignante lui a alors avoué que ce n’était pas la première fois qu’elle subissait des violences de son conjoint, qui lui avait même déjà donné des coups de pieds et des coups de poings dans le ventre (cf. P. 48). Dans le rapport du 30 mai 2021, les intervenants du Centre universitaire romand de médecine légale (ci-après : CURML) ont constaté une très discrète ecchymose jaunâtre mesurant environ 1.5 cm de diamètre, en regard du quadrant supéro-interne du sein gauche et une discrète ecchymose jaunâtre mesurant environ 1.2 cm de diamètre, à la partie antérieure du tiers moyen de l’avant-bras, toutes deux en relation avec les faits (cf. P. 43/2). Enfin, la plaignante a produit en appel une attestation établie par des spécialistes le 11 juin 2024, lesquels ont notamment attesté qu’elle était suivie depuis le 8 juin 2021 et que son état de santé était stationnaire et son diagnostic maintenu, à savoir un état de stress post-traumatique, un trouble panique et une anxiété épisodique paroxystique, un épisode dépressif moyen, sans syndrome somatique, et une personnalité dépendante. Le climat de violences a également été décrit par les filles de la plaignante, celles-ci parlant de violences verbales et ayant constaté des marques sur leur mère. Il est normal qu’elles n’aient pas constaté immédiatement les violences physiques exercées sur leur mère, dès lors qu’elles n’avaient pas lieu en leur présence et que la plaignante a pendant longtemps cherché à cacher ses blessures et n’a pas osé parler de ses problèmes à ses filles. C.H.________ habitait certes avec le couple, mais travaillait et, jusqu’au mois d’octobre 2020, passait la majorité du temps chez son ami. Elle a tout de même pu expliquer que, devant elle, il n’y avait jamais eu de violences physiques, mais verbales, qu’elle savait qu’il y avait eu des coups, car elle avait entendu sa mère dire « aïe », et avait constaté des bleus sur cette dernière. Elle a mentionné que sa mère lui avait rarement parlé des soucis qu’elle avait avec le prévenu, mais qu’elle voyait que sa mère était mal et qu’elle ne voulait jamais lui faire part de ce qui se passait, voulant surtout éviter de faire des histoires (cf. PV aud. n° 2). B.H.________ a quant à elle relaté que les choses avaient commencé à se dégrader à la mi-année 2019, que le prévenu hurlait, qu’un climat tendu s’était installé, qu’en août-septembre 2020 les disputes étaient devenues de plus en plus fréquentes, puis violentes, et qu’elle avait entendu des injures. Elle a décrit le climat de tensions et de peurs créé par le prévenu (cf. PV aud. n° 3). A cela s’ajoute que le prévenu a des antécédents de violences, notamment domestiques, et a l’habitude de contester les faits. Ainsi, le 3 décembre 2012, le Tribunal de police de l’arrondissement de Lausanne l’a condamné pour des voies de fait qualifiées et des menaces qualifiées notamment. Il a admis avoir frappé dans une porte, mais contesté avoir injurié son ex-épouse. Le tribunal a cependant retenu qu’il l’avait menacée de mort à plusieurs reprises, l’avait régulièrement injuriée, la traitant notamment de « sale pute » et de « connasse » et lui avait, en plusieurs occasions, asséné des gifles (cf. P. 17). Le 9 août 2016, il a en outre été condamné pour avoir insulté des représentants de la maréchaussée en les traitant de « connards de merde », « fils de pute », « sales flics de merde » et « enculés », pour avoir frappé son ex-épouse devant un établissement scolaire, alors qu’une interdiction de périmètre lui avait été imposée, et pour l’avoir injuriée et menacée à plusieurs reprises par téléphone. Le prévenu a toujours contesté les faits (cf. P. 18). Enfin, le 16 novembre 2022, l’appelant a été condamné pour avoir injurié et menacé B.H.________, faits qu’il conteste (cf. P. 112).</w:t>
      </w:r>
    </w:p>
    <w:p>
      <w:r>
        <w:rPr>
          <w:b/>
        </w:rPr>
        <w:t>E. 3.3.2</w:t>
      </w:r>
    </w:p>
    <w:p>
      <w:r>
        <w:t>S’agissant plus particulièrement des violences sexuelles, l’appelant relève que la plaignante serait évasive, tant sur les faits que sur les dates, que le rapport du CURML du 30 mai 2021 ne mentionnerait aucune lésion gynécologique ou anale, qu’il n’aurait reçu aucun signe démontrant que son ex-compagne s’opposerait au rapport sexuel entretenu durant la nuit du 26 au 27 mai 2021, que la plaignante n’aurait pas évoqué ces faits dans le cadre de sa plainte du 27 mai 2021 et qu’elle aurait exagéré ses accusation en découvrant qu’il l’avait trompée. Contrairement aux allégations de l’appelant, la plaignante a déjà évoqué des violences sexuelles dans le cadre de sa plainte, alléguant ce qui suit : « [à] de nombreuses reprises, B.________ m’a forcée à faire l’amour avec lui, alors que je n’en avais pas envie, notamment à cause de son comportement […]. J’ai trop peur de lui pour m’y opposer, et je le fais en silence. Je précise que B.________ m’a dit plusieurs fois qu’il n’en avait rien à foutre de moi. Un jour, il m’a dit qu’une fille, si elle est vraiment amoureuse, elle faisait tout ce qu’on lui demande. Puis, il m’a demandé d’aller à la rue de Genève, me prostituer, car je lui ramènerais beaucoup d’argent avec mon gros cul ». On doit au surplus relever qu’il ne s’agissait pas d’une audition comportant des questions et qu’à cette occasion elle a tenu un discours tout à fait libre. La plaignante n’est absolument pas évasive s’agissant de la description des violences sexuelles. Au contraire, dans le cadre de sa première audition du 10 juin 2021, elle a expliqué avec détails et précision les violences sexuelles subies du 26 au 27 mai 2021 (cf. supra ch. 2.2, let. b) et les a donc datées. Elle a raconté dans quelles circonstances les événements litigieux avaient eu lieu et a parlé de ses émotions et ressentis lors des faits, éléments qui renforcent encore sa crédibilité. Ainsi, elle a notamment mentionné qu’elle avait peur, qu’elle n’osait pas contrarier le prévenu, qu’elle osait à peine respirer, qu’elle avait honte, qu’elle lui avait dit qu’elle n’avait pas envie à plusieurs reprises, qu’il la bloquait avec ses jambes quand elle essayait de s’éloigner, qu’il l’injuriait, qu’il avait introduit son pénis dans son anus, qu’elle avait eu très mal, qu’il avait recommencé deux fois, puis introduit son pénis dans son vagin, qu’elle avait peur qu’il la tue, qu’elle l’a laissé faire et qu’elle se sentait salie, meurtrie, rabaissée. La plaignante a relaté un autre épisode qui s’était déroulé en 2021 (cf. supra ch. 2.2, let. a), à savoir qu’il s’était énervé, puis était redevenu gentil, qu’il l’avait ensuite obligée à lui faire une fellation, de manière violente, lui enfonçant le pénis dans la bouche jusqu’à ce qu’elle vomisse. Elle lui a dit d’arrêter, mais il a continué à lui enfoncer son pénis en lui tenant la tête jusqu’à éjaculation (cf. PV aud. n° 4). De plus, elle a raconté les mêmes événements s’agissant de la nuit du 26 au 27 mai 2021 lors de sa consultation au CURML, qui a pratiqué un examen physique de la victime, relevant deux discrètes ecchymose. Contrairement à ce que semble croire l’appelant, on ne peut pas en tirer d’autres conclusions, aucun examen gynécologique n’ayant été effectué (cf. P. 43/2). L’appelant ne peut prétendre qu’il ne pouvait pas comprendre que son ex-compagne s’opposait au rapport sexuel. S’agissant des faits du mois de mai 2021, ceux-ci se sont déroulés dans un climat de violences, alors que la victime se faisait insulter et menacer. De plus, E.________ lui a dit à plusieurs reprises qu’elle ne voulait pas entretenir de rapport sexuel. Par ailleurs, elle voulait partir et avait préparé ses valises, l’appelant voulant l’en empêcher et la punir, lui expliquant que ce n’était pas à elle de décider. En définitive, au regard de l’ensemble de ces éléments, les faits doivent être retenus tels qu’il résulte de l’acte d’accusation, l’argument de l’appelant selon lequel la plaignante aurait agi de la sorte pour se venger, en apprenant la tromperie de son compagnon, étant sans fondement.</w:t>
      </w:r>
    </w:p>
    <w:p>
      <w:r>
        <w:rPr>
          <w:b/>
        </w:rPr>
        <w:t>E. 4.1</w:t>
      </w:r>
    </w:p>
    <w:p>
      <w:r>
        <w:t>Invoquant une violation des art. 189 et 190 CP, l’appelant conteste sa condamnation pour contrainte sexuelle et viol.</w:t>
      </w:r>
    </w:p>
    <w:p>
      <w:r>
        <w:rPr>
          <w:b/>
        </w:rPr>
        <w:t>E. 4.2</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Ces infractions exigent non seulement qu’une personne subisse l’acte d’ordre sexuel ou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ni contrainte sexuelle (ATF 148 IV 234 consid. 3.3 et 3.8 ; TF 6B_710/2012 du 3 avril 2013 consid. 3.1 ; TF 6B_311/2011 du 19 juillet 2011 consid. 5.2). Le viol et la contrainte sexuelle supposent ainsi l’emploi d’un moyen de contrainte. Il peut s’agir de l’usage de la violence, mais aussi de l’exercice de « pressions psychiques ».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précité consid. 3.3).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(TF 6B_774/2014 du 22 mai 2015 consid. 3.3 ; TF 6B_575/2010 du 16 décembre 2010, consid. 1.3.2).</w:t>
      </w:r>
    </w:p>
    <w:p>
      <w:r>
        <w:rPr>
          <w:b/>
        </w:rPr>
        <w:t>E. 4.3.1</w:t>
      </w:r>
    </w:p>
    <w:p>
      <w:r>
        <w:t>S’agissant de la fellation dans le courant de l’année 2021 (cf. supra ch. 2.2, let. a), le prévenu a fait usage de violence, dès lors qu’il a tenu la tête d’E.________ et lui a bloqué la mâchoire avec une main. Il s’était préalablement énervé et a agi de manière violente. Tant la contrainte que l’aspect subjectif de l’infraction sont réalisés. L’appelant ne pouvait ignorer que la plaignante ne souhaitait pas cet acte d’ordre sexuel, dès lors qu’elle lui avait demandé d’arrêter.</w:t>
      </w:r>
    </w:p>
    <w:p>
      <w:r>
        <w:rPr>
          <w:b/>
        </w:rPr>
        <w:t>E. 4.3.2</w:t>
      </w:r>
    </w:p>
    <w:p>
      <w:r>
        <w:t>Quant aux faits du mois de mai 2021 (cf. supra ch. 2.2, let. b), la contrainte est réalisée. En effet, l’appelant a menacé et injurié la plaignante et a exercé des violences sur elle. Il l’a mise hors d’état de résister, celle-ci étant terrorisée. E.________ a clairement décrit l’état dans lequel elle était au moment des violences sexuelles, état qui ne lui permettait pas de s’opposer, ce que l’appelant savait. Elle a relaté qu’elle osait à peine respirer, car cela le dérangeait aussi, qu’elle essayait de se clamer, qu’elle était perdue, très angoissée et qu’elle avait honte. Il l’a menacée, lui disant qu’il allait l’étouffer dans son sommeil. Avant et pendant les faits, il l’a injuriée, la traitant de « salope » et traitant également la fille de la plaignante de « sale pute ». E.________ a en outre mentionné des contraintes physiques, le prévenu la bloquant avec ses jambes quand elle essayait de s’éloigner. L’aspect subjectif de l’infraction est réalisé. La plaignante voulait quitter le domicile et l’appelant voulait l’en empêcher. Les faits du mois de mai 2021 se sont déroulés dans un climat de violences, alors que la victime se faisait insulter, menacer et retenir physiquement par son bourreau. De plus, cette dernière a dit plusieurs fois au prévenu qu’elle ne voulait pas entretenir de rapport sexuel. Partant, l’appelant savait qu’elle ne voulait pas de rapports sexuels et qu’il la contraignait.</w:t>
      </w:r>
    </w:p>
    <w:p>
      <w:r>
        <w:rPr>
          <w:b/>
        </w:rPr>
        <w:t>E. 4.3.3</w:t>
      </w:r>
    </w:p>
    <w:p>
      <w:r>
        <w:t>Au vu de ce qui précède, la condamnation de B.________ pour contrainte sexuelle et viol doit donc être confirmée.</w:t>
      </w:r>
    </w:p>
    <w:p>
      <w:r>
        <w:rPr>
          <w:b/>
        </w:rPr>
        <w:t>E. 5</w:t>
      </w:r>
    </w:p>
    <w:p>
      <w:r>
        <w:t>L’appelant conteste encore sa condamnation pour contrainte, menaces qualifiées, lésions corporelles simples qualifiées, voies de fait qualifiées et injure. En réalité, il conteste les faits, griefs qui ont été examinés ci-dessus (cf. supra consid. 3.3). Dès lors que la version des faits de la plaignante a été retenue et partant les faits tels qu’ils résultent de l’acte d’accusation, les infractions précitées sont toutes réalisées.</w:t>
      </w:r>
    </w:p>
    <w:p>
      <w:r>
        <w:rPr>
          <w:b/>
        </w:rPr>
        <w:t>E. 6.1</w:t>
      </w:r>
    </w:p>
    <w:p>
      <w:r>
        <w:t>L’appelant conteste la peine infligée.</w:t>
      </w:r>
    </w:p>
    <w:p>
      <w:r>
        <w:rPr>
          <w:b/>
        </w:rPr>
        <w:t>E. 6.2.1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réf. citées).</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w:t>
      </w:r>
    </w:p>
    <w:p>
      <w:r>
        <w:rPr>
          <w:b/>
        </w:rPr>
        <w:t>E. 6.3</w:t>
      </w:r>
    </w:p>
    <w:p>
      <w:r>
        <w:t>La Cour de céans constate que la peine a été fixée conformément à la culpabilité de l’appelant qui doit être qualifiée de très lourde. Il peut être renvoyé à cet égard à la motivation du jugement attaqué (cf. jugement, pp. 41 et 42 ; art. 82 al. 4 CPP), qui est claire et convaincante. En effet, encore au stade de l’appel, B.________ n’a de cesse de renverser les rôles et de se considérer en victime, en soutenant qu’E.________ est une menteuse. Or, il a été violent tant physiquement que verbalement envers elle. Il existe dès lors une absence totale de prise de conscience de la gravité des infractions commises de la part de l’appelant, persistant à contester, en dépit du temps écoulé. A cela s’ajoute que, comme l’a relevé le tribunal, du 3 décembre 2012 au 29 août 2023, B.________ a été condamné à quinze reprises et, depuis son arrivée en Suisse en 2001 et jusqu’à ce jour, il a été condamné à vingt-six reprises, de sorte qu’il peut être retenu que l’appelant fait fi des multiples condamnations pénales qui ont été rendues à son encontre et des autorités judiciaires de ce pays. Les infractions commises sont en concours et il est d’ailleurs rappelé que trois sanctions disciplinaires ont été rendues à son encontre dans le cadre de la procédure d’appel. Aucun élément à décharge ne saurait être retenu. Au vu de ces éléments et pour des motifs de prévention spéciale, seule une peine privative de liberté ferme entre en ligne de compte pour réprimer les infractions commises par l’appelant. En tant que l’autorité de céans est liée par le principe de l’interdiction de la reformatio in pejus , la peine privative de liberté de 4 ans au total sera dès lors confirmée, sous déduction de la détention subie avant jugement et d’un jour de détention au titre de réparation du tort moral. En effet, sur la base de ce qui précède, l’infraction de viol, qui constitue l’infraction principale, doit être réprimée par une peine privative de liberté de 18 mois. Conformément au principe d’aggravation découlant du concours d’infractions, cette peine sera majorée de 12 mois pour les contraintes sexuelles, de 6 mois pour les lésions corporelles simples qualifiées, de 6 mois pour les menaces qualifiées, de 4 mois pour les contraintes et de 4 mois pour le séjour illégal. Par ailleurs, la peine pécuniaire de 60 jours-amende, à 30 fr. le jour, pour sanctionner les injures et l’amende de 1’000 fr., convertible en 10 jours de peine privative de liberté de substitution en cas de non-paiement fautif, pour sanctionner les contraventions commises, doivent également être confirmées. Il est enfin rappelé que la peine prononcée est complémentaire à celles prononcées les 2 mai 2019 par la Cour d’appel pénale du Tribunal cantonal vaudois, 24 septembre 2019 par le Ministère public de l’arrondissement de Lausanne, 8 mai 2020 par la Cour d’appel pénale du Tribunal cantonal vaudois, 20 juillet 2020 par le Ministère public cantonal STRADA à Lausanne et entièrement complémentaire à celles prononcées les 16 novembre 2022 et 29 août 2023 par le Ministère public de l’arrondissement de Lausanne.</w:t>
      </w:r>
    </w:p>
    <w:p>
      <w:r>
        <w:rPr>
          <w:b/>
        </w:rPr>
        <w:t>E. 7.1</w:t>
      </w:r>
    </w:p>
    <w:p>
      <w:r>
        <w:t>L’expulsion du territoire suisse de l’appelant pour une durée de 15 ans doit être examinée d’office.</w:t>
      </w:r>
    </w:p>
    <w:p>
      <w:r>
        <w:rPr>
          <w:b/>
        </w:rPr>
        <w:t>E. 7.2.1</w:t>
      </w:r>
    </w:p>
    <w:p>
      <w:r>
        <w:t>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w:t>
      </w:r>
    </w:p>
    <w:p>
      <w:r>
        <w:rPr>
          <w:b/>
        </w:rPr>
        <w:t>E. 7.2.2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précité consid. 3.3.1).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I’Etat de provenance. Comme la liste de l’art. 31 al. 1 OASA n’est pas exhaustive et que l’expulsion relève du droit pénal, le juge devra également, dans l’examen du cas de rigueur, tenir compte des perspectives de réintégration sociale du condamné (ATF 147 IV 453 consid. 1.4.5).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du 13 mars 2020 consid. 2.1.1 ; TF 6B_50/2020 du 3 mars 2020 consid. 1.3.1).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1266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du 30 juin 2021 consid. 1.2). Les relations familiales visées par l’art. 8 § 1 CEDH sont avant tout celles qui concernent la famille dite nucléaire, soit celles qui existent entre époux ainsi qu’entre parents et enfants mineurs vivant en ménage commun (ATF 144 II 1 précité consid. 6.1 ; ATF 135 1143 consid. 1.3.2).</w:t>
      </w:r>
    </w:p>
    <w:p>
      <w:r>
        <w:rPr>
          <w:b/>
        </w:rPr>
        <w:t>E. 7.3</w:t>
      </w:r>
    </w:p>
    <w:p>
      <w:r>
        <w:t>En l’espèce, il s’agit d’un cas d’expulsion obligatoire (art. 66a al. 1 let. h CP). A cela s’ajoute que l’appelant est en situation illégale en Suisse depuis vingt-deux ans et qu’il est interdit d’entrée en Suisse jusqu’en juin 2027. Les faits commis sont très graves et le pronostic est extrêmement mauvais. En effet, le prévenu nie les faits et continue de mettre la faute sur sa victime. Il a également un casier judiciaire très chargé et il se comporte mal en détention. A cela s’ajoute que ses frères et sœurs sont en Algérie et en France. Il n’a ainsi pas de famille en Suisse, autre qu’un fils, qui est aujourd’hui majeur et avec lequel il n’entretient que des contacts téléphoniques. Dans ces conditions, l’expulsion pour une durée de 15 ans est justifiée et doit être confirmée.</w:t>
      </w:r>
    </w:p>
    <w:p>
      <w:r>
        <w:rPr>
          <w:b/>
        </w:rPr>
        <w:t>E. 8</w:t>
      </w:r>
    </w:p>
    <w:p>
      <w:r>
        <w:t>Le maintien en détention pour des motifs de sûreté de B.________ doit être maintenu pour garantir l’exécution de la peine.</w:t>
      </w:r>
    </w:p>
    <w:p>
      <w:r>
        <w:rPr>
          <w:b/>
        </w:rPr>
        <w:t>E. 9</w:t>
      </w:r>
    </w:p>
    <w:p>
      <w:r>
        <w:t>Au vu de ce qui précède, l’appel de B.________ doit être rejeté et le jugement entrepris entièrement confirmé. Me Jérôme Campart, défenseur d’office de B.________, a produit une liste d’opérations dont il ressort un temps total de 26h06 d’activité d’avocat breveté, ainsi que trois vacations, dont il n’y a pas lieu de s’écarter de la durée alléguée. Au tarif horaire de 180 fr. (art. 2 al. 1 let. a RAJ [règlement sur l’assistance judiciaire en matière civile du 7 décembre 2010 ; BLV 211.02.3] par renvoi de l’art. 26b TFIP), le défraiement s’élève à 4’698 fr. (26h06 x 180 fr.), auquel il convient d’ajouter 2 % pour les débours (art. 3bis al. 1 RAJ par renvoi de l’art. 26b TFIP [tarif des frais de procédure et indemnités en matière pénale du 28 septembre 2010 ; BLV 312.03.1]), soit 94 fr., trois vacations à 120 fr. et la TVA à 8,1 %, par 417 fr. 30, soit un total de 5’569 fr. 30. Aux débats d’appel, Me Alain Dubuis, conseil de choix de la plaignante, a produit une liste d’opérations dont il ressort un temps total de 11h30 d’activité d’avocat breveté, au tarif horaire de 400 francs. Compte tenu de la nature de la cause, il n’y a pas lieu de s’écarter du temps ainsi allégué, le tarif horaire devant toutefois être réduit à 300 francs. L’indemnité versée à E.________ pour la procédure d’appel sera par conséquent fixée à 3’450 fr. (11h30 x 300 fr.), plus des débours forfaitaires à concurrence de 2 % (art. 3bis al. 1 RAJ applicable par renvoi de l’art. 26b TFIP), par 69 fr., et la TVA à 8,1 %, par 284 fr. 05, soit à un total de 3’804 fr. 05, au titre de l’art. 433 CPP pour la procédure d’appel, à la charge de l’appelant. Vu l’issue de la cause, les frais de la procédure d’appel, par 9’349 fr. 30, constitués en l’espèce de l’émolument de jugement et d’audience, par 3’780 fr. (cf. art. 21 al. 1 et 2 TFIP [Tarif des frais de procédure et indemnités en matière pénale du 28 septembre 2010 ; BLV 312.03.1]), ainsi que de l’indemnité allouée au défenseur d’office de B.________, par 5’569 fr. 30, seront mis à la charge de ce dernier. L’appelant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