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273 vom 13. Dezember 2023</w:t>
      </w:r>
    </w:p>
    <w:p>
      <w:r>
        <w:t>VD Tribunal cantonal, 2023-12-13, FR</w:t>
      </w:r>
    </w:p>
    <w:p>
      <w:r>
        <w:rPr>
          <w:b/>
        </w:rPr>
        <w:t xml:space="preserve">Quelle: </w:t>
      </w:r>
      <w:r>
        <w:t>https://mcp.opencaselaw.ch/entscheid/vd_findinfo_Jug___2024___273</w:t>
      </w:r>
    </w:p>
    <w:p>
      <w:r>
        <w:t>FR: VD_FINDINFO Jug / 2024 / 273 du 13 décembre 2023</w:t>
      </w:r>
    </w:p>
    <w:p>
      <w:r>
        <w:t>IT: VD_FINDINFO Jug / 2024 / 273 del 13 dicembre 2023</w:t>
      </w:r>
    </w:p>
    <w:p>
      <w:pPr>
        <w:pStyle w:val="Heading2"/>
      </w:pPr>
      <w:r>
        <w:t>Regeste</w:t>
      </w:r>
    </w:p>
    <w:p>
      <w:r>
        <w:t>INCENDIE INTENTIONNEL, OMISSION DE PRÊTER SECOURS, LÉSION CORPORELLE GRAVE, LÉSION CORPORELLE SIMPLE, RESPONSABILITÉ RESTREINTE{DROIT PÉNAL}, DOMMAGES À LA PROPRIÉTÉ{DROIT PÉNAL}, LOI FÉDÉRALE SUR LES STUPÉFIANTS ET LES SUBSTANCES PSYCHOTROPES, MESURE THÉRAPEUTIQUE INSTITUTIONNELLE | 106 CP, 122 CP, 123 ch. 1 al. 1 CP, 144 al. 1 CP, 19 al. 2 CP, 221 al. 1 CP, 285 ch. 1 CP, 40 CP, 47 CP, 49 CP, 50 CP, 51 CP, 56 CP, 59 CP, 19a ch. 1 LStup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382 al. 1 CPP), l’appel de K.________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 cit.).</w:t>
      </w:r>
    </w:p>
    <w:p>
      <w:r>
        <w:rPr>
          <w:b/>
        </w:rPr>
        <w:t>E. 3.1</w:t>
      </w:r>
    </w:p>
    <w:p>
      <w:r>
        <w:t>; TF 6B_143/2020 du 1 er avril 2020 consid. 4.1 ; TF 6B_1089/2017 du 16 mai 2018 consid. 1.1). Dans la situation où l’auteur de l’omission est celui qui a blessé la personne, la jurisprudence (ATF 111 IV 124 consid. 2a ; TF 6P.113/2008 du 25 mars 2006 consid. 8.4.2) et certains auteurs estiment qu’il y a concours réel entre les lésions corporelles intentionnelles et l’abandon du blessé. Selon le Tribunal fédéral, celui qui cause les blessures et en plus abandonne sa victime qui a besoin d’aide va au-delà du seul résultat recherché. Il commet un délit supplémentaire de mise en danger, sans qu’il soit nécessaire que la victime ait été exposée à des lésions plus graves ou en danger de mort. Certains auteurs estiment pour leur part que cette solution n’est défendable que dans la mesure où la nécessité de prêter secours ne résulte pas exclusivement des lésions infligées de façon intentionnelle (Stettler, in Commentaire romand, Code pénal II, 2017, n. 22 ad art. 128 ; Dupuis et alii [éd.], op. cit ., n. 19 ad art. 128 CP). 5.3 En l’occurrence, les premiers juges ont estimé que cette infraction devait être retenue à l’encontre de la prévenue dès lors que celle-ci était restée totalement impassible après avoir ébouillanté la plaignante durant son sommeil, alors qu’il lui était pourtant facile d’appeler à l’aide ou de l’asperger d’eau froide, ou tout simplement de la réconforter. Interrogée durant l’instruction, P.________ a indiqué qu’elle avait été réveillée par la douleur et a notamment déclaré ce qui suit : « j’ai vu Mme K.________ qui avait les yeux noirs et qui était debout, un peu reculée de mon lit. […] Je ne sais plus si Mme K.________ a bougé ou pas. Je me rappelle avoir été vers l’interphone pour appeler les gardiens à l’aide. […] Ils sont venus peu après me porter secours. […] Je ne sais pas ce que faisait Mme K.________ pendant ce temps » (PV aud. 6, R. 7). L’appelante a quant à elle déclaré ce qui suit : Je suis restée choquée. Je suis simplement restée debout. Elle [la plaignante] a appelé les gardiens avec l’interphone. Ils sont venus tout de suite » (PV aud. 5, R. 5) ; « Je voulais faire quelque chose pour elle, mais vu ma position il valait mieux que je me fasse petite et que je reste dans mon coin » ( ibidem , R. 12). L’instruction n’a pas permis d’établir la chronologie des faits. On ignore donc la durée qui sépare le passage à l’acte de la prévenue de l’appel au secours de la plaignante via l’interphone, la cellule ne disposant notamment pas de caméra de surveillance (PV aud. 4, R. 5, p. 3). Au vu des déclarations des parties, il semble que ce laps de temps ait été court. Une fois les gardiens appelés à l’aide, ceux-ci sont arrivés rapidement dans la cellule, comme l’a confirmé l’agente de détention (PV aud. 4, R. 5, p. 2). La prévenue a déclaré à l’audience d’appel qu’après avoir alerté les gardiens, la plaignante était immédiatement allée au robinet se mettre de l’eau sur le visage (cf. supra , p. 3). P.________ ne se souvient quant à elle plus de ce qui s’est passé (PV aud. 8, ll. 93-97). Ainsi, un doute subsiste quant à la réelle possibilité pour l’appelante de prêter secours à la victime. Celle-ci semble avoir rapidement contacté les gardiens par l’interphone et s’être éventuellement ensuite dirigée vers le robinet pour s’asperger d’eau. La Cour de céans peine au demeurant à imaginer la manière dont l’appelante aurait pu agir. En particulier, on ne voit pas comment elle aurait pu aider P.________ à ôter son t-shirt, dès lors que, selon toute vraisemblance, au vu de ce qui venait de se produire, celle-ci n’aurait pas souhaité que l’appelante s’approche d’elle. Dans ces circonstances, faute d’éléments incriminants suffisants, il y a lieu de libérer l’appelante du chef d’accusation d’omission de prêter secours. 6. 6.1 L’appelante conteste la quotité de la peine. Elle reproche aux premiers juges de n’avoir pas pris en considération des éléments à décharge, soit le suicide de son père intervenu peu avant les faits, le choc de l’avoir découvert, la dégradation de son état de santé psychique à la suite de cet événement, les diverses demandes de mesures à son endroit demeurées sans suite et ses excuses sincères, à tout le moins pour certaines des infractions qui lui sont reprochées.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6B_836/2023 du 18 mars 2024 consid. 3.1 ; TF 6B_1237/2023 du 13 mars 2024 consid. 1.1).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 6.2.3 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ainsi qu'en raison d'une éventuelle tentative selon l'art. 22 al. 1 CP (ATF 136 IV 55 précité consid. 5.7 ; TF 6B_746/2022 du 30 mars 2023 consid. 4.2 ; TF 6B_151/2022 du 10 novembre 2022 consid. 2.2). 6.3 Les premiers juges ont estimé que la culpabilité de la prévenue était extrêmement lourde. Elle s’en était prise au personnel soignant qui tentait de l’aider (cf. supra consid. C.2.1 et C.2.2), avait bouté le feu à sa chambre d’hôtel pour des motifs purement égoïstes, créant un risque de dégâts matériels et humains au cœur de la ville, et avait ébouillanté dans son sommeil sa codétenue dans un dessein de vengeance. Dans ces deux cas-ci, elle était restée passive à contempler le résultat de ses actes. Généralement, elle montrait une bassesse de caractère détestable, qui ne saurait être justifiée ni excusée par les atteintes psychiques dont elle souffrait. Elle ne manifestait par ailleurs ni remords ni regrets et ne ressentait aucune empathie pour ses victimes. Ses vagues excuses sonnaient faux. Sa violence était inquiétante. Une peine privative de liberté substantielle s’imposait donc. A charge, le tribunal de première instance a encore tenu compte du concours d’infractions, des antécédents pénaux et des multiples sanctions en détention. A décharge, il a tenu compte de la diminution de responsabilité évaluée par les experts en fonction des différents cas. Il a arrêté la peine à 36 mois en précisant que sans cette diminution, il aurait infligé entre 4 et 5 ans, soit 2 ans pour les lésions corporelles graves, au moins un an pour l’incendie et autant pour le reste (cf. jugement, pp. 66-67). La Cour de céans ne peut suivre le raisonnement des premiers juges sur la diminution de responsabilité de l’appelante, dès lors qu’il ne répond pas aux exigences de la jurisprudence. Selon l’expertise, pour les infractions les plus graves, soit les lésions corporelles graves et l’incendie, la responsabilité de l’appelante était seulement légèrement altérée, dès lors qu’elle avait mûri ses idées de passage à l’acte (P. 83, p. 17). Il est vrai que les experts mentionnent, dans le paragraphe précédent du rapport, une responsabilité diminuée de façon moyenne pour l’incendie ( ibidem ). Toutefois, les réponses aux questions dans les conclusions du rapport clarifient cette contradiction (cf. P. 83, pp. 21-22, réponses 2d et 2e), les experts ayant précisé que la diminution de la responsabilité pénale de l’appelante était importante en ce qui concerne les lésions corporelles infligées à T.________ et légère en ce qui concerne l'incendie et l'agression de sa codétenue P.________. Or, l’autorité inférieure a retenu une diminution moyenne de responsabilité pour l’incendie et les lésions corporelles graves (cf. jugement, p. 67). L’acte commis par l’appelante à l’égard de sa codétenue endormie est ignoble. Les brûlures sont parmi les douleurs les plus intenses. Elles atteignent ici 15 % du corps de la victime et celle-ci en conservera les stigmates qui lui rappelleront au quotidien cet événement. La culpabilité de la prévenue, d’« écrasante », s’allège à « très lourde ». Pour l’incendie intentionnel, la culpabilité passe de « très lourde » à « lourde », car le geste est dirigé contre des objets matériels et répond à un mal-être pour lequel la prévenue a tenté, certes maladroitement, d’obtenir de l’aide, et surtout elle a immédiatement signalé son geste à la réception. Pour les actes commis à l’hôpital de [...] (cf. supra consid. C.2.1 et C.2.2), l’expertise estime que la responsabilité est diminuée de manière importante. La culpabilité passe de « très lourde », vu la gratuité des actes dirigée contre une institution et des personnes qui cherchaient à aider la prévenue, à « moyenne voire légère ». Les circonstances à décharge soutenues par l’appelante dans son appel sont redondantes, dès lors que la diminution de responsabilité tient compte de son état mental au moment des faits, ce qui inclut d’ores et déjà la découverte du suicide de son père et la manière dont elle l’a vécu. Les graves lésions corporelles mériteraient à elles seules une peine de 2,5 ans (cf. TF 6B_432/2021 du 21 février 2022 consid. 4.2). Cette peine de base devrait être aggravée de 6 mois pour l’incendie, d’un mois pour les lésions corporelles simples et d’un mois encore pour les dommages à la propriété et l’infraction de violence ou menace contre les autorités ou les fonctionnaires. Par conséquent, la peine prononcée en première instance de 36 mois n’est pas excessive et sera confirmée, dès lors qu’elle ne peut être aggravée en raison de l’interdiction de la reformatio in pejus (art. 391 al. 2 CPP). L’appelante ne critique pas formellement le refus par les premiers juges de l’octroi du sursis à l’exécution de sa peine. Compte tenu de ses nombreux antécédents, de l’absence de prise de conscience de la gravité de ses actes et du risque élevé de récidive d’actes de violence verbale et physique retenu par les experts (cf. P. 83, pp. 22-23), l’analyse effectuée par les premiers juges est correcte (cf. jugement, p. 68) et sera confirmée, le pronostic étant assurément défavorable. Conformément à l’art. 51 CP, la détention subie par K.________ depuis le jugement de première instance sera déduite de la peine privative de liberté prononcée. 7. 7.1 L’appelante conteste ensuite la mesure de traitement institutionnel. Elle soutient que l’expertise est contradictoire et lacunaire sur certains points. Selon elle, le risque de récidive n’existerait que pour les violences verbales et physiques. En revanche, le risque de nouvel incendie ne serait pas prévisible et donc ne devrait pas être pris en compte. Elle estime qu’en l’absence d’escalade de violence s’agissant de ses antécédents judiciaires, la mesure institutionnelle ne répondrait pas au principe de proportionnalité, contrairement à un traitement ambulatoire. 7.2 7.2.1 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 7.2.3 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précité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précité consid. 3.5.5). La gravité du trouble exigée par le droit des mesures résulte de l'intensité du lien entre le trouble (médicalement important) et l'infraction. Un diagnostic ne peut être pris isolément et considéré comme suffisamment ou insuffisamment grave (ATF 146 IV 1 précité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 l'expert peut être qualifié de grave au sens de l'art. 59 CP (TF 6B_871/2022 précité ; TF 6B_643/2018 du 5 septembre 2018 consid. 1.4). En revanche, le tribunal n'a pas à procéder à sa propre appréciation des questions médicales techniques (TF 6B_871/2022 précité ; TF 6B_1163/2018 précité consid. 2.4.2). 7.2.4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 210/2015 du 22 juin 2015 consid. 2.1.2 et arrêts cités). Le Tribunal fédéral a jugé que, le fait de déterminer si un auteur doit, conformément à l'art. 59 al. 3 CP, être placé dans une institution fermée ou un établissement pénitentiaire (art. 76 al. 2 CP) est une question qui incombe à l'autorité d'exécution des peines (ATF 142 IV I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 7.3 En l’occurrence, les premiers juges se sont ralliés aux conclusions de l’expertise, les estimant complètes et convaincantes. Ils ont considéré que le risque de récidive était considérable et que seule la mesure prévue par l’art. 59 CP était de nature à l’atténuer autant que possible. Ils ont relevé que la capacité de l’appelante à adhérer à un projet thérapeutique était limitée et que seul un cadre fermé pourrait lui permettre une adhésion adéquate aux traitements dont elle a besoin, ajoutant que par le passé, elle n’avait adhéré à aucun suivi ambulatoire mis en place en sa faveur. Contrairement à ce que soutient l’appelante, il importe peu que le risque de récidive en lien avec l’incendie ne soit pas prévisible. Le risque est avéré en ce qui concerne les violences et est même élevé selon l’expertise, ce qui suffit pour justifier la mesure de l’art. 59 CP. Les experts préconisent cette mesure au vu des troubles dont souffre l’appelante, précisant qu’un foyer fermé était le plus approprié pour garantir l'efficacité thérapeutique. Cette mesure est donc nécessaire. Au demeurant, l’appelante se trompe, dès lors que la présente cause constitue bien une escalade par rapport aux antécédents et les actes commis sont de plus en plus graves. Par conséquent, la dangerosité de K.________ commande un traitement institutionnel en milieu fermé et la mesure ordonnée par les premiers juges sera confirmée. Il n’y a toutefois pas lieu de préciser dans le dispositif du jugement que le traitement doit avoir lieu en milieu fermé, dès lors qu’il appartiendra aux thérapeutes d’en décider. Le dispositif du jugement de première instance sera rectifié d’office sur ce point.</w:t>
      </w:r>
    </w:p>
    <w:p>
      <w:r>
        <w:rPr>
          <w:b/>
        </w:rPr>
        <w:t>E. 3.2</w:t>
      </w:r>
    </w:p>
    <w:p>
      <w:r>
        <w:t>A teneur de l'art. 221 CP, quiconque, intentionnellement, cause un incendie et porte ainsi préjudice à autrui ou fait naître un danger collectif est puni d’une peine privative de liberté d’un an au moins (al. 1). L’auteur est puni d’une peine privative de liberté de trois ans au moins s’il met sciemment en danger la vie ou l’intégrité corporelle des personnes (al. 2). Le juge peut prononcer une peine privative de liberté de trois ans au plus ou une peine pécuniaire si le dommage est de peu d’importance (al. 3). Pour l'application de l'art. 221 al. 3 CP, il y a lieu de se fonder sur le résultat objectif de l'incendie et non pas sur la volonté de l'auteur, ni sur le seul danger créé. La jurisprudence n'a pas fixé en francs la limite supérieure du dommage de peu d'importance. Au regard des peines lourdes prévues à l’art. 221 al. 1 et 2 CP, la circonstance atténuante se rattacherait aux incendies qui n’ont détruit que des objets de fable valeur. Par comparaison avec l’art. 172 ter CP, la limite du dommage se situerait à un niveau sensiblement supérieur à celui du dommage de moindre importance (Parein-Reymond/Parein/Vuille, in Commentaire romand, Code pénal II, 2017, n. 32 ad art. 221 CP ; Dupuis et alii [éd.], Petit commentaire CP, 2 e éd., Bâle 2017, nn. 32 ss. ad art. 221 CP et les réf. cit.). Un élément patrimonial est de faible valeur au sens de cette dernière disposition s'il ne vaut pas plus de 300 fr. (ATF 142 IV 129 consid. 3.1 ; TF 6B_490_2023 précité consid. 3.1). Le Tribunal fédéral a notamment considéré qu’un dommage de 10'000 fr. n’était pas de peu d’importance (TF 6b_1208/2014 du 2 avril 2015 consid. 2.3.2 et l’arrêt cité). Dans la jurisprudence cantonale, tantôt un dommage inférieur à 5'000 fr. pour l’incendie de trois objets en bois a été considéré comme étant de peu d’importance, tantôt une perte de valeur de 4'100 fr. n’a pas été qualifiée comme telle (cf. Dupuis et alii [éd.], op. cit ., n. 34 ad art. 221 CP). L’art. 221 al. 3 CP prévoit uniquement la faculté, et non pas l’obligation pour le juge de prononcer une peine moins sévère. Il en résulte qu’il dispose d’un large pouvoir d’appréciation (Dupuis et alii [éd.], op. cit ., n. 32 ad art. 221 CP).</w:t>
      </w:r>
    </w:p>
    <w:p>
      <w:r>
        <w:rPr>
          <w:b/>
        </w:rPr>
        <w:t>E. 3.3</w:t>
      </w:r>
    </w:p>
    <w:p>
      <w:r>
        <w:t>En l’occurrence, les premiers juges ont considéré que la chambre d’hôtel avait été gravement détériorée par les flammes (cf. jugement, p. 58). Cette appréciation apparaît quelque peu excessive au vu des photographies versées au dossier (P. 29). Cela étant, les circonstances d’espèce commandent de considérer qu’il ne s’agit pas d’un incendie anodin qui a été allumé, même si la prévenue est allée annoncer son geste à la réception. Tout d’abord, il s’agit d’une chambre d’un hôtel dédié à l’hébergement de personnes à l’aide sociale. Certains voisins ont dû être relogés en raison de la forte odeur de fumée. Ensuite, la prévenue a utilisé un accélérant, en a versé sur le parquet, puis est sortie et a verrouillé la porte (PV aud. 3, ll. 35 ss ; PV aud. 9, ll. 100 ss). Au-delà de la dangerosité du comportement de l’appelante, qui a potentiellement mis en danger des vies humaines, les dégâts causés se chiffrent à un total de 6'170 fr. 62 (P. 104). Ce montant est manifestement supérieur au dommage de moindre importance de 300 fr. prévu à l'art. 172 ter CP. Compte tenu de l’ensemble de ces éléments, et de la jurisprudence précitée, la Cour de céans considère, à l’instar du tribunal de première instance, que l’incendie causé par l’appelante ne peut être qualifié de peu d’importance. L’incendie intentionnel au sens de l’art. 221 al. 1 CP sera ainsi confirmé. Au surplus, on relèvera que l’enjeu demeure théorique, dans la mesure où l’art. 221 al. 3 CP permet, mais n’impose pas, au juge d’infliger une peine plus clémente qu’à l’art. 221 al. 1 CP.</w:t>
      </w:r>
    </w:p>
    <w:p>
      <w:r>
        <w:rPr>
          <w:b/>
        </w:rPr>
        <w:t>E. 4.1</w:t>
      </w:r>
    </w:p>
    <w:p>
      <w:r>
        <w:t>L’appelante reproche ensuite aux premiers juges d’avoir apprécié certains faits de façon erronée et d’avoir retenu à tort l’infraction de lésions corporelles graves en lien avec la plaignante P.________ (cf. supra consid. C.2.5). Elle soutient que celle-ci n’aurait pas subi plusieurs mois d’hospitalisation, de longues et graves souffrances ou de nombreux mois d’arrêt de travail, comme le requérait la disposition pénale.</w:t>
      </w:r>
    </w:p>
    <w:p>
      <w:r>
        <w:rPr>
          <w:b/>
        </w:rPr>
        <w:t>E. 4.2.1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w:t>
      </w:r>
    </w:p>
    <w:p>
      <w:r>
        <w:rPr>
          <w:b/>
        </w:rPr>
        <w:t>E. 4.2.2</w:t>
      </w:r>
    </w:p>
    <w:p>
      <w:r>
        <w:t>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w:t>
      </w:r>
    </w:p>
    <w:p>
      <w:r>
        <w:rPr>
          <w:b/>
        </w:rPr>
        <w:t>E. 4.3</w:t>
      </w:r>
    </w:p>
    <w:p>
      <w:r>
        <w:t>En l’occurrence, se fondant sur les divers documents médicaux versés au dossier ainsi que sur les déclarations de la plaignante P.________, le tribunal de première instance a notamment constaté que l’état de santé de celle-ci n’était toujours pas stabilisé plus d’une année après les faits, que ses brûlures n’étaient pas guéries et devaient toujours être soignées, des greffes de peau étant envisagées, qu’elle avait en outre perdu un quart de son acuité visuelle de l’œil gauche et qu’il n’était pas certain qu’elle puisse un jour recouvrer une vision normale. Par ailleurs, le tribunal de première instance a indiqué avoir pu constater aux débats la gravité des séquelles psychiques qui subsistaient chez la plaignante, laquelle avait parue extrêmement émue et avait eu une grande difficulté à s’exprimer. Le tribunal a également estimé que la récente hospitalisation en milieu psychiatrique de la plaignante était très probablement due à ce qu’elle avait subi de la part de la prévenue (cf. jugement, p. 60). L’ensemble de ces éléments a conduit l’autorité inférieure à retenir les lésions corporelles graves. La Cour de céans fait sienne la motivation des premiers juges, dont les considérations étayées se fondent sur les rapports médicaux, photographies et autres certificats figurant au dossier (P. 53, 62, 122, 161). On relève en sus que les brûlures sont extrêmement douloureuses, que la plaignante a été hospitalisée durant 20 jours et a été en incapacité de travail durant plusieurs semaines (P. 53 et 62). Près d’une année après les faits, ses cicatrices sont toujours douloureuses. Elles ne disparaitront de surcroît jamais et des greffes de peau sont envisagées (P. 161/7). Les séquelles esthétiques sont donc irrémédiables. Dans ces circonstances, l’argumentation de l’appelante est infondée. Les souffrances endurées par P.________ et les lésions subies sont établies à satisfaction de droit et répondent amplement aux réquisits jurisprudentiels qualifiant les lésions corporelles graves. On ajoute encore que les experts du CURML ont confirmé que la vie de la plaignante avait été potentiellement mise en danger d’un point de vue clinique (P. 12, p. 13). Par ailleurs, même s’il n’est pas formellement établi que l’hospitalisation psychiatrique d’P.________ du 27 octobre 2023 soit due aux faits reprochés à l’appelante, on ne peut sérieusement douter que les atteintes subies aient provoqué un traumatisme chez la victime, qui, on le rappelle, s’est fait ébouillanter dans son sommeil et a été réveillée en sursaut par la douleur. Le jugement sera confirmé sur ce point. 5. 5.1 Toujours en lien avec le complexe de faits lié à la plaignante P.________ (cf. supra consid. C.2.5), l’appelante conteste sa condamnation pour l’infraction d’omission de prêter secours. Elle fait valoir que l’on ignore ce qui s’est passé entre son acte et l’arrivée des secours. Elle estime que ce laps de temps était trop bref pour qu’une aide de sa part eût été utile. 5.2 Aux termes de l’art. 128 CP, quiconque ne prête pas secours à une personne qu’il a blessée ou à une personne en danger de mort imminent, alors que l’on peut raisonnablement l’exiger de lui, étant donné les circonstances, quiconque empêche un tiers de prêter secours ou l’entrave dans l’accomplissement de ce devoir, est puni d’une peine privative de liberté de trois ans au plus ou d’une peine pécuniaire. L'art. 128 CP sanctionne un délit de mise en danger abstraite par pure omission (ATF 121 IV 18 consid. 2a et réf. cit.).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réf. cit.).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6B_875/2020 du 15 avril 2021 consid.</w:t>
      </w:r>
    </w:p>
    <w:p>
      <w:r>
        <w:rPr>
          <w:b/>
        </w:rPr>
        <w:t>E. 8</w:t>
      </w:r>
    </w:p>
    <w:p>
      <w:r>
        <w:t>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références).</w:t>
      </w:r>
    </w:p>
    <w:p>
      <w:r>
        <w:rPr>
          <w:b/>
        </w:rPr>
        <w:t>E. 8.1</w:t>
      </w:r>
    </w:p>
    <w:p>
      <w:r>
        <w:t>L’appelante fait valoir que la détention provisoire pour des motifs de sûreté ne se justifierait plus, dès lors qu’elle a déjà purgé 669 jours de détention.</w:t>
      </w:r>
    </w:p>
    <w:p>
      <w:r>
        <w:rPr>
          <w:b/>
        </w:rPr>
        <w:t>E. 8.2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par des crimes ou des délits graves après avoir déjà commis des infractions du même genre (let. c).</w:t>
      </w:r>
    </w:p>
    <w:p>
      <w:r>
        <w:rPr>
          <w:b/>
        </w:rPr>
        <w:t>E. 8.3</w:t>
      </w:r>
    </w:p>
    <w:p>
      <w:r>
        <w:t>Au jour du jugement de première instance, la prévenue avait subi 625 jours de détention avant jugement. Il demeurait donc plus d’un an avant que la peine prononcée ait été entièrement exécutée. Par ailleurs, la prévenue sera soumise à un traitement institutionnel. Vu le risque de récidive attesté par l’expertise, la détention pour des motifs de sûreté se justifie toujours et doit être maintenue.</w:t>
      </w:r>
    </w:p>
    <w:p>
      <w:r>
        <w:rPr>
          <w:b/>
        </w:rPr>
        <w:t>E. 9.1</w:t>
      </w:r>
    </w:p>
    <w:p>
      <w:r>
        <w:t>L’appelante conteste encore l’allocation des conclusions des parties civiles en invoquant l’art. 8 CC, sans développer son argumentation à ce sujet.</w:t>
      </w:r>
    </w:p>
    <w:p>
      <w:r>
        <w:rPr>
          <w:b/>
        </w:rPr>
        <w:t>E. 9.2</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Loi fédérale complétant le Code civil suisse du 30 mars 1911 ; RS 220]).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6B_193/2014 consid. 2.2; TF 6B_819/2013 consid. 5.1). Cette disposition prévoit que chaque plaideur doit, si la loi ne prescrit le contraire, prouver les faits qu'il allègue pour en déduire son droit. L'art. 42 CO, qui s'applique également au tort moral, reprend ce principe à son al. 2 (Werro, in Commentaire romand, Code des obligations I, 2 e éd. 2012, n.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consid. 6.1 ; TF 4A_495/2007 consid. 6.2.1 ; SJ 1993 p. 351).</w:t>
      </w:r>
    </w:p>
    <w:p>
      <w:r>
        <w:rPr>
          <w:b/>
        </w:rPr>
        <w:t>E. 9.3</w:t>
      </w:r>
    </w:p>
    <w:p>
      <w:r>
        <w:t>Les premiers juges ont alloué à la plaignante P.________ un montant de 20'000 fr. à titre de réparation morale, ainsi qu’un montant de 2'500 fr. de dommages-intérêts, destinés à compenser la franchise de l’assurance-maladie. Compte tenu de ce qu’elle a subi et devra encore endurer (cf. jugement, pp. 74-75 ; P. 161/7), le tribunal de première instance a estimé à juste titre qu’une telle indemnité pour le tort moral était adéquate. Cette appréciation sera confirmée. Quant au montant de la franchise, même si celui-ci n’a pas été établi par pièce, il correspond à la franchise haute de l’assurance-maladie de base qui doit usuellement être payée. Il est plus que probable, au vu de l’hospitalisation, des interventions et des traitements dont la plaignante a bénéficié, qu’elle a dû s’acquitter de factures dépassant le montant de sa franchise. Ce montant pourra ainsi également être confirmé. Les premiers juges ont ensuite alloué un montant de 9'000 fr. de réparation morale à la plaignante T.________. Celle-ci souffre encore d’acouphènes et de cervicalgie et névralgie cervico-brachiale droite, ce qui a un impact sur sa vie privée et professionnelle. Elle dort en outre mal, peine à conduire son véhicule et demeure émotionnellement affectée (P. 159/2 ; cf. jugement, pp. 10-11). L’indemnité est donc justifiée dans son principe et sa quotité. Le tribunal a enfin alloué un montant de 464 fr. 60 de dommages-intérêts au V.________. Cette prétention, qui a été justifiée par pièce, a été admise par l’appelante (cf. jugement, p. 15).</w:t>
      </w:r>
    </w:p>
    <w:p>
      <w:r>
        <w:rPr>
          <w:b/>
        </w:rPr>
        <w:t>E. 10.1</w:t>
      </w:r>
    </w:p>
    <w:p>
      <w:r>
        <w:t>Enfin, l’appelante fait valoir que, puisqu’elle devrait être acquittée de certaines infractions, elle devrait être libérée d’une partie des frais et se voir allouer une juste indemnité au sens de l’art. 429 CPP.</w:t>
      </w:r>
    </w:p>
    <w:p>
      <w:r>
        <w:rPr>
          <w:b/>
        </w:rPr>
        <w:t>E. 10.2</w:t>
      </w:r>
    </w:p>
    <w:p>
      <w:r>
        <w:t>Le prévenu supporte les frais de procédure s’il est condamné (art. 426 al. 1 CPP). 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w:t>
      </w:r>
    </w:p>
    <w:p>
      <w:r>
        <w:rPr>
          <w:b/>
        </w:rPr>
        <w:t>E. 10.3</w:t>
      </w:r>
    </w:p>
    <w:p>
      <w:r>
        <w:t>En l’espèce, l’appelante s’est rendue coupable de lésions corporelles graves, lésions corporelles simples, dommages à la propriété, injure, incendie intentionnel, violence ou menace contre les autorités ou les fonctionnaires et contravention à la loi fédérale sur les stupéfiants. Elle doit uniquement être acquittée, au bénéfice du doute, d’omission de prêter secours, accusation très accessoire qui n'a pas donné lieu à des mesures d’enquête. Il n’y a dès lors pas lieu de laisser une partie des frais à la charge de l’Etat et la prétention de l’appelante – au demeurant assistée d’un défenseur d’office – tirée de l’art. 429 CPP est infondée.</w:t>
      </w:r>
    </w:p>
    <w:p>
      <w:r>
        <w:rPr>
          <w:b/>
        </w:rPr>
        <w:t>E. 11</w:t>
      </w:r>
    </w:p>
    <w:p>
      <w:r>
        <w:t>En définitive, l’appel de K.________ doit être très partiellement admis et le jugement entrepris réformé dans le sens des considérants qui précèdent. Me Jana Burysek, défenseur d’office de l’appelante, a produit une liste d’opérations pour la procédure d’appel (P. 188) dans laquelle elle a annoncé avoir consacré 14h au mandat. Il convient de retrancher les avis de transmission ou « mémos » totalisant 1h, opérations de secrétariat qui ne peuvent être facturées à l’assistance judiciaire. Il y a en outre lieu de prendre en compte 3h de vacations au tarif horaire de 120 fr., et non pas de 180 fr., pour les déplacements à la prison de Champ-Dollon (CAPE 20 décembre 2022/381) ainsi qu’une durée de 1h30 pour l’audience d’appel, étant précisé que l’avocate est arrivée à celle-ci avec 15 minutes de retard. Au tarif horaire de 180 fr., l’indemnité de défenseur d'office qui doit être allouée pour la procédure d'appel s’élève à 2'670 fr. 75, soit des honoraires de 2'070 fr. (180 fr. x 11.5), auxquels s’ajoutent les débours forfaitaires de 2 %, par 41 fr. 40, trois vacations à 120 fr. et la TVA sur le tout, par 199 fr. 35. Me Nicolas Blanc, conseil d’office de la plaignante P.________, a produit une liste d’opérations pour la procédure d’appel (P. 187) dans laquelle il a annoncé avoir consacré 6h10 au mandat, dont 6h effectuée par une avocate-stagiaire. Il convient d’ajouter une durée de 1h45 pour l’audience d’appel et de 30 minutes pour les opérations post-mandat. Au tarif horaire de 180 fr. pour l’avocat breveté et de 110 fr. pour l’avocate-stagiaire, l’indemnité de conseil d'office qui doit être allouée pour la procédure d'appel s’élève à 1'120 fr. 85, soit des honoraires de 938 fr. 10 (180 fr. x 0.17 + 110 fr. x 10.2), auxquels s’ajoutent les débours forfaitaires de 2 %, par 18 fr. 75, une vacation au tarif de l’avocate-stagiaire à 80 fr. et la TVA sur le tout, par 84 francs. Les plaignants T.________ et V.________, assistés d’un conseil de choix, ont renoncé à une indemnité au sens de l’art. 433 CPP. Vu l’issue de la cause, les frais de la procédure d’appel, par 8'561 fr. 60, constitués des émoluments de jugement et d’audience, par 4’770 fr. (art. 21 al. 1 et 2 TFIP [tarif des frais de procédure et indemnités en matière pénale du 28 septembre 2010 ; BLV 312.03.1]), ainsi que de l’indemnité due au défenseur d’office, par 2'670 fr. 75, et de l’indemnité due au conseil d’office, par 1'120 fr. 85, sont mis à la charge de K.________, qui succombe (art. 428 al. 1 CPP) pour la quasi-totalité. La prénommée sera tenue de rembourser à l’Etat les indemnités en faveur de son défenseur d’office et du conseil d’office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