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268 vom 22. Dezember 2023</w:t>
      </w:r>
    </w:p>
    <w:p>
      <w:r>
        <w:t>VD Tribunal cantonal, 2023-12-22, FR</w:t>
      </w:r>
    </w:p>
    <w:p>
      <w:r>
        <w:rPr>
          <w:b/>
        </w:rPr>
        <w:t xml:space="preserve">Quelle: </w:t>
      </w:r>
      <w:r>
        <w:t>https://mcp.opencaselaw.ch/entscheid/vd_findinfo_Jug___2024___268</w:t>
      </w:r>
    </w:p>
    <w:p>
      <w:r>
        <w:t>FR: VD_FINDINFO Jug / 2024 / 268 du 22 décembre 2023</w:t>
      </w:r>
    </w:p>
    <w:p>
      <w:r>
        <w:t>IT: VD_FINDINFO Jug / 2024 / 268 del 22 dicembre 2023</w:t>
      </w:r>
    </w:p>
    <w:p>
      <w:pPr>
        <w:pStyle w:val="Heading2"/>
      </w:pPr>
      <w:r>
        <w:t>Regeste</w:t>
      </w:r>
    </w:p>
    <w:p>
      <w:r>
        <w:t>SURSIS PARTIEL À L'EXÉCUTION DE LA PEINE, RÉVOCATION DU SURSIS, FIXATION DE LA PEINE, CONCOURS D'INFRACTIONS, REJET DE LA DEMANDE | 43 CP, 46 CP, 47 CP, 49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L’appelante A.W.________ ne conteste pas sa condamnation pour vol, vol en bande et par métier, dommages à la propriété, violation de domicile, tentative de violation de domicile et infraction à la loi fédérale sur les étrangers et l’intégration. Elle soutient toutefois que la peine privative de liberté prononcée par les premiers juges est trop sévère. Elle allègue que le jugement est rédigé en termes lapidaires et qu’il violerait le principe de l’individualisation des peines, les premiers juges ayant traité les circonstances à charge de manière groupée pour elle et T.________. Elle reproche également aux premiers juges de n’avoir retenu aucun élément à décharge. Elle fait valoir que les neuf vols, dont trois sont restés au stade de la tentative, ont été commis sur une période de trois ans et que les butins obtenus étaient de faible importance. Elle expose également que, contrairement à ce que les premiers juges ont retenu en parlant de « tourisme du vol », elle a agi avec amateurisme, puisqu’elle a été plusieurs fois surprise en flagrant délit et qu’elle s’est enfuie en laissant tout derrière elle et sans s’en prendre à l’intégrité des victimes. En outre, les premiers juges n’auraient pas tenu compte de sa situation personnelle, alors qu’elle est mère de sept enfants et que, dépourvue de formation, elle n’avait aucun moyen de subvenir à leurs besoins. Enfin, elle conteste l’appréciation des premiers juges selon laquelle ses excuses ne seraient que de pure façade. Elle se prévaut au contraire de son bon comportement en prison qui démontrerait une sincère prise de conscience. Son arrestation lui aurait en effet servi de leçon et elle aurait pour objectif de trouver un travail en Belgique et de scolariser ses enfants dans ce pays. Ce serait ainsi à tort que les premiers juges auraient révoqué son précédent sursis, alors que le Ministère public ne l’avait pas requis et que le pronostic ne pouvait être considéré comme défavorable.</w:t>
      </w:r>
    </w:p>
    <w:p>
      <w:r>
        <w:rPr>
          <w:b/>
        </w:rPr>
        <w:t>E. 3.2.1</w:t>
      </w:r>
    </w:p>
    <w:p>
      <w:r>
        <w:t>Selon l’art. 43 CP (Code pénal suisse du 21 décembre 1937 ; RS 311.0),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3.2.2</w:t>
      </w:r>
    </w:p>
    <w:p>
      <w:r>
        <w:t>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 TF 6B_756/2021 du 23 mars 2022 consid. 2.1).</w:t>
      </w:r>
    </w:p>
    <w:p>
      <w:r>
        <w:rPr>
          <w:b/>
        </w:rPr>
        <w:t>E. 3.2.3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3.2.4</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3.3.1</w:t>
      </w:r>
    </w:p>
    <w:p>
      <w:r>
        <w:t>Le considérant 5 du jugement, qui traite de la culpabilité des prévenues, regroupe en préambule les circonstances communes à ces dernières – à savoir, en substance, leur professionnalisme, leur motivation, l’absence de prise de conscience et le concours d’infractions – avant d’examiner les éléments propres à chacune d’entre elles de manière séparée. Le considérant 5.1 qui est dédié à A.W.________ mentionne ainsi, à charge, ses antécédents, le fait qu’elle ait agi à de nombreuses reprises dans un laps de temps court et qu’elle ait multiplié les actes délictueux sur plusieurs années, érigeant le vol en mode de vie, et, à décharge, l’admission des faits et des conclusions civiles. Il n’y a manifestement pas de violation du principe de l’individualisation des peines au fait d’avoir évoqué de manière groupée les circonstances communes aux deux appelantes sans les répéter dans le considérant qui les concernait. Ce grief doit donc être rejeté.</w:t>
      </w:r>
    </w:p>
    <w:p>
      <w:r>
        <w:rPr>
          <w:b/>
        </w:rPr>
        <w:t>E. 3.3.2</w:t>
      </w:r>
    </w:p>
    <w:p>
      <w:r>
        <w:t>L’appelante est bien en peine d’exposer les circonstances à décharge qui auraient été omises par les premiers juges. En effet, qu’elle ait agi sur trois périodes qui s’étendent sur plus de trois ans ne saurait être considéré comme un élément à décharge. Au contraire, la répétition frénétique des infractions consommées ou tentées dénote une certaine intensité de la volonté et de l’activité délictuelle, ce qui est un élément à charge. C’est également en vain que l’appelante allègue la prétendue faiblesse des butins. Lorsque l’occasion se présentait, elle n’a eu aucun scrupule à se saisir de plusieurs sacs Louis Vuitton (cf. supra consid. 3.6), de 4'000 fr., de montres de marque et nombreux bijoux en or (cf. supra consid. 3.7 et 3.8), ainsi que d’un foulard Hermès et d’un portefeuille Gucci (cf. supra consid. 3.15). Il ne s’agit manifestement pas de maigres butins. En outre, comme l’ont relevé à juste titre les premiers juges, il s’agit de « tourisme criminel », puisque les deux appelantes sont venues en Suisse dans le seul et unique but de commettre des vols avant de retourner en France. La seule raison pour laquelle leur activité délictueuse a pris fin est leur interpellation. En outre, l’appelante ne peut pas non plus être suivie lorsqu’elle plaide sa situation familiale qui existait avant la commission des faits et qui ne l’a nullement dissuadée de multiplier les infractions. Les premiers juges ont constaté que les excuses présentées paraissaient de pure façade au regard de l’attitude de l’appelante en audience. Cet élément, qui ne peut évidemment pas être corroboré par des éléments du dossier, ne prête pas le flanc à la critique. Il appartenait en effet aux premiers juges de procéder à cette appréciation et que celle-ci n’ait pas été dans le sens souhaité par la défense ne rend pas le procédé contraire à l’art. 47 CP. Enfin, de jurisprudence désormais bien établie, le bon comportement en prison – dans la mesure où un tel comportement correspond à ce que l'on doit pouvoir attendre d'un détenu – constitue un élément neutre du point de vue de la fixation de la peine et n'a pas à être pris en compte dans un sens atténuant (TF 6B_560/2018 du 13 août 2018 consid.</w:t>
      </w:r>
    </w:p>
    <w:p>
      <w:r>
        <w:rPr>
          <w:b/>
        </w:rPr>
        <w:t>E. 3.3.3</w:t>
      </w:r>
    </w:p>
    <w:p>
      <w:r>
        <w:t>L’appelante a déjà été condamnée à deux reprises dans notre pays, les 27 septembre 2013 et 25 octobre 2019, pour entrée illégale et conduite d’un véhicule sans permis. Ces deux condamnations ne l’ont pas détournée de commettre de nouvelles infractions, puisqu’elle est revenue illégalement en Suisse dans le seul but de commettre de nouveaux méfaits d’une gravité bien plus importante que les précédents. Elle a ainsi démontré sa totale indifférence aux précédents jugements dont elle n’a su tirer aucune leçon. Le pronostic défavorable est ainsi établi à satisfaction de droit, quand bien même le Ministère public a renoncé à requérir la révocation du sursis. C’est ainsi à juste titre que les premiers juges ont prononcé la révocation du sursis qui avait été accordé à l’appelante le 25 octobre 2019. Le grief doit donc être rejeté.</w:t>
      </w:r>
    </w:p>
    <w:p>
      <w:r>
        <w:rPr>
          <w:b/>
        </w:rPr>
        <w:t>E. 3.3.4</w:t>
      </w:r>
    </w:p>
    <w:p>
      <w:r>
        <w:t>S’agissant de la quotité de la peine que l’appelante estime trop élevée, il convient tout d’abord de déterminer la peine pour l’infraction la plus grave avant de l’augmenter pour sanctionner les autres infractions. L’infraction de base est le vol en bande et par métier qui mérite une peine privative de liberté de deux ans. Il faut ajouter quatre mois pour les violations de domicile, quatre mois pour les dommages à la propriété, trois mois pour les deux vols et un mois pour l’infraction à la loi fédérale sur les étrangers et l’intégration. Il résulte de ce qui précède que la peine de 36 mois fixée par les premiers juges est adéquate. Pour le surplus, c’est à juste titre que, malgré le pronostic mitigé, les premiers juges ont considéré que l’exécution d’une partie de la peine pouvait détourner A.W.________ de la commission de nouvelles infractions, de telle sorte qu’ils ont accordé le sursis partiel à l’appelante, la partie suspendue étant fixée à 18 mois. L’appel de A.W.________ doit donc être rejeté.</w:t>
      </w:r>
    </w:p>
    <w:p>
      <w:r>
        <w:rPr>
          <w:b/>
        </w:rPr>
        <w:t>E. 3.6</w:t>
      </w:r>
    </w:p>
    <w:p>
      <w:r>
        <w:t>et les arrêts cités). Compte tenu de ce qui précède, les premiers juges n’ont omis aucun élément à décharge lors de la fixation de la peine et le grief doit être rejeté.</w:t>
      </w:r>
    </w:p>
    <w:p>
      <w:r>
        <w:rPr>
          <w:b/>
        </w:rPr>
        <w:t>E. 4.1</w:t>
      </w:r>
    </w:p>
    <w:p>
      <w:r>
        <w:t>L’appelante T.________ ne conteste pas sa condamnation pour vol en bande et par métier, dommages à la propriété, violation de domicile et tentative de violation de domicile. Elle soutient toutefois que la peine privative de liberté prononcée par les premiers juges est excessive et qu’elle aurait dû bénéficier du sursis partiel. Les premiers juges n’auraient, selon elle, pas pris en compte sa collaboration et son évolution favorable. Elle fait en effet valoir que, lors de son interpellation, elle s’est spontanément expliquée sur l’entier de son activité délictueuse, alors que les policiers n’avaient pas d’éléments contre elle, outre le sac Prada et le tournevis qu’elle portait sur elle. Elle se prévaut ensuite du fait que le pronostic ne peut pas être considéré comme entièrement défavorable, dès lors qu’elle a pris conscience du mal qu’elle a fait et que son rapport au travail et à la propriété a changé, de sorte qu’elle ne récidivera pas. Selon elle, les premiers juges auraient également dû prendre en compte l’effet préventif de la peine suspendue.</w:t>
      </w:r>
    </w:p>
    <w:p>
      <w:r>
        <w:rPr>
          <w:b/>
        </w:rPr>
        <w:t>E. 4.2</w:t>
      </w:r>
    </w:p>
    <w:p>
      <w:r>
        <w:t>Les principes relatifs au sursis partiel, à la fixation de la peine et au concours ont été rappelés aux considérants 3.2.1, 3.2.3 et 3.2.4 ci-dessus auxquels il est renvoyé.</w:t>
      </w:r>
    </w:p>
    <w:p>
      <w:r>
        <w:rPr>
          <w:b/>
        </w:rPr>
        <w:t>E. 4.3</w:t>
      </w:r>
    </w:p>
    <w:p>
      <w:r>
        <w:t>T.________ a déjà été condamnée deux fois en Suisse les 24 février 2019 et 27 août 2020 à des peines privatives de liberté de 2 et 14 jours, respectivement pour infraction à la loi fédérale sur les étrangers et l’intégration et tentative de vol, vol, dommages à la propriété et violation de domicile. Ses casiers judiciaires français et italien mentionnent également trois condamnations pour vol à des peines privatives de liberté de 4 à 6 mois. La récidive est donc spéciale. Malgré ses précédentes condamnations, T.________ est venue dans notre pays dans le seul but de commettre à nouveau des infractions. Le pronostic est donc entièrement défavorable et le sursis partiel ne peut pas lui être accordé. T.________ a commis plus de cas de vols en bande et par métier que A.W.________ et il y a lieu de tenir compte du fait qu’elle est en récidive spéciale. La peine de base pour l’infraction de vol en bande et par métier doit être fixée à 28 mois de peine privative de liberté. Celle-ci sera augmentée de quatre mois pour sanctionner les violations de domicile et quatre mois pour les dommages à la propriété, soit un total de 36 mois. La peine prononcée par les premiers juges doit ainsi être confirmée. L’appel de T.________ doit donc être rejeté.</w:t>
      </w:r>
    </w:p>
    <w:p>
      <w:r>
        <w:rPr>
          <w:b/>
        </w:rPr>
        <w:t>E. 5</w:t>
      </w:r>
    </w:p>
    <w:p>
      <w:r>
        <w:t>En définitive, les appels de A.W.________ et T.________ doivent être rejetés et le jugement entrepris confirmé. Vu le sort de la cause, les frais de la procédure d’appel, constitués de l’émolument d’audience, par 700 fr., et de jugement, par 2’200 fr. (art. 21 al. 1 et 2 TFIP), soit 2'900 fr. au total, seront mis par moitié à la charge de chacune des appelantes qui succombent (art. 428 al. 1 CPP). La liste des opérations produite par Me Christian Bacon, défenseur d’office de A.W.________, ne prête pas flanc à la critique, si ce n’est que les débours sont fixés forfaitairement à 2 % et non 5 % en deuxième instance judiciaire (art. 3bis al. 1 RAJ [règlement du 7 décembre 2010 sur l'assistance judiciaire en matière civile ; BLV 211.02.3], applicable par renvoi de l’art. 26b TFIP). Il y a ainsi lieu d’indemniser 16 heures et 33 minutes au tarif horaire de 180 fr., soit 2’979 fr., auxquels il convient d’ajouter des débours forfaitaires à concurrence de 2 %, soit 59 fr. 60, une vacation à 120 fr., ainsi que la TVA à 8,1 %, par 255 fr. 85, soit un total de 3’414 fr. 40, TVA et débours inclus. Me Gabriele Sémah, défenseur de T.________ désigné d’office par la Cour de céans, a produit une liste des opérations faisant état d’un temps total consacré à la procédure d’appel de 14 heures d’activité d’avocat et 2 heures et 42 minutes d’activité d’avocat-stagiaire. Celle-ci est adéquate à l’exception des débours qui sont fixés forfaitairement à 2 % et non 5 % comme déjà exposé. Il y a ainsi lieu d’indemniser 14 heures au tarif horaire de 180 fr., soit 2’520 fr., et 2 heures et 42 minutes au tarif horaire de 110 fr., soit 297 fr., montant auquel il convient d’ajouter des débours forfaitaires à concurrence de 2 %, soit 56 fr. 35, quatre vacations à 120 fr., ainsi que la TVA à 8,1 %, par 271 fr. 60, soit un total de 3'624 fr. 95 TVA et débours inclus. A.W.________ et T.________ seront tenues de rembourser à l’Etat l’indemnité due à leur défenseur d’office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