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267 vom 6. Juli 2022</w:t>
      </w:r>
    </w:p>
    <w:p>
      <w:r>
        <w:t>VD Tribunal cantonal, 2022-07-06, FR</w:t>
      </w:r>
    </w:p>
    <w:p>
      <w:r>
        <w:rPr>
          <w:b/>
        </w:rPr>
        <w:t xml:space="preserve">Quelle: </w:t>
      </w:r>
      <w:r>
        <w:t>https://mcp.opencaselaw.ch/entscheid/vd_findinfo_Jug___2024___267</w:t>
      </w:r>
    </w:p>
    <w:p>
      <w:r>
        <w:t>FR: VD_FINDINFO Jug / 2024 / 267 du 6 juillet 2022</w:t>
      </w:r>
    </w:p>
    <w:p>
      <w:r>
        <w:t>IT: VD_FINDINFO Jug / 2024 / 267 del 6 luglio 2022</w:t>
      </w:r>
    </w:p>
    <w:p>
      <w:pPr>
        <w:pStyle w:val="Heading2"/>
      </w:pPr>
      <w:r>
        <w:t>Regeste</w:t>
      </w:r>
    </w:p>
    <w:p>
      <w:r>
        <w:t>RÉVISION{DÉCISION}, DÉCISION D'IRRECEVABILITÉ | 410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La procédure du rescindant instituée par le CPP se déroule, en principe, en deux phases, à savoir un examen préalable de la recevabilité (art. 412 al. 1 et 2 CPP) et un examen des motifs invoqués (art. 412 al. 3 et</w:t>
      </w:r>
    </w:p>
    <w:p>
      <w:r>
        <w:rPr>
          <w:b/>
        </w:rPr>
        <w:t>E. 1.2</w:t>
      </w:r>
    </w:p>
    <w:p>
      <w:r>
        <w:t>En l’espèce, dans sa nouvelle demande du 14 mai 2024, nonobstant l’indication que « cette lettre est accompagnée d’une nouvelle preuve de mon innocence et du fait que la personne a menti tout au long de la procédure », X.________ se contente d’exposer les mêmes motifs que dans sa précédente demande de révision, du 15 avril 2024, à savoir que le comportement de S.________, plusieurs années après les faits qu’elle a dénoncés et de nombreux mois après le jugement qui a prononcé la condamnation du requérant, constituerait une preuve de son innocence. Ces griefs ayant déjà fait l’objet d’un jugement du 23 avril 2024, la nouvelle demande de révision est manifestement irrecevable. Dès lors, il n’y a pas lieu d’entrer en matière sur celle-ci. 2. En définitive, la demande de révision doit être déclarée irrecevable (art. 412 al. 2 CPP), sans échange d’écritures (art. 412 al. 3 CPP a contrario ). Vu l’issue de la cause, les frais de la procédure de révision, par 440 fr. (art. 21 al. 1 TFIP [tarif des frais de procédure et indemnités en matière pénale du 28 septembre 2010 ; BLV 312.03.1] par renvoi de l’art. 22 TFIP), seront mis à la charge du requérant, qui succombe (art. 428 al. 1, 2 e phrase CPP).</w:t>
      </w:r>
    </w:p>
    <w:p>
      <w:r>
        <w:rPr>
          <w:b/>
        </w:rPr>
        <w:t>E. 4</w:t>
      </w:r>
    </w:p>
    <w:p>
      <w:r>
        <w:t>et 413 CPP). Il s'agit de deux étapes d'une seule et même procédure, pour laquelle la juridiction d'appel est compétente (art. 412 al. 1 et 3 CPP). L'examen préalable de la demande de révision relève de la procédure écrite (art. 412 al. 1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Aux termes de l’art. 411 CPP, les demandes de révision doivent être motivées et adressées par écrit à la juridiction d’appel. Les motifs de révision doivent être exposés et justifiés dans la demande (al. 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