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26 vom 20. September 2023</w:t>
      </w:r>
    </w:p>
    <w:p>
      <w:r>
        <w:t>VD Tribunal cantonal, 2023-09-20, FR</w:t>
      </w:r>
    </w:p>
    <w:p>
      <w:r>
        <w:rPr>
          <w:b/>
        </w:rPr>
        <w:t xml:space="preserve">Quelle: </w:t>
      </w:r>
      <w:r>
        <w:t>https://mcp.opencaselaw.ch/entscheid/vd_findinfo_Jug___2024___26</w:t>
      </w:r>
    </w:p>
    <w:p>
      <w:r>
        <w:t>FR: VD_FINDINFO Jug / 2024 / 26 du 20 septembre 2023</w:t>
      </w:r>
    </w:p>
    <w:p>
      <w:r>
        <w:t>IT: VD_FINDINFO Jug / 2024 / 26 del 20 settembre 2023</w:t>
      </w:r>
    </w:p>
    <w:p>
      <w:pPr>
        <w:pStyle w:val="Heading2"/>
      </w:pPr>
      <w:r>
        <w:t>Regeste</w:t>
      </w:r>
    </w:p>
    <w:p>
      <w:r>
        <w:t>CONSTATATION DES FAITS, CHANTAGE, FIXATION DE LA PEINE, EXPULSION{DROIT PÉNAL} | 156 ch. 3 CP, 47 CP, 49 al. 1 CP, 66a al. 1 let. c CP, 10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w:t>
      </w:r>
    </w:p>
    <w:p>
      <w:r>
        <w:t>L’appelant conteste uniquement sa condamnation pour extorsion et chantage qualifiés, en relation avec le cas 1 de l’acte d’accusation. Il soutient qu’il a toujours fermement contesté avoir demandé à G.________ de lui rendre les 50 fr. qu’il lui avait donnés pour une prestation sexuelle. Il explique qu’au moment des faits il s’était énervé parce que la plaignante lui avait demandé davantage d’argent, et qu’il l’aurait alors sortie du véhicule mais qu’il ne l’aurait pas frappée. Il lui aurait peut-être mis une « petite claque » mais il n’est plus sûr. Selon lui, il ne serait pas établi que l’argent aurait effectivement été restitué et il conteste l’avoir repris. L’appelant soutient ensuite que G.________ se serait contredite dans ses auditions. Enfin, l’appelant soutient qu’en tout état de cause, seul l’art. 156 ch. 1 CP serait applicable.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3.1.2</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La peine est plus lourde si l'auteur fait métier de l'extorsion ou s'il a poursuivi à réitérées reprises ses agissements contre la victime (al. 2). Aux termes de l’art. 156 ch. 3 CP, si l’auteur a exercé des violences sur une personne ou s’il l’a menacée d’un danger imminent pour la vie ou l’intégrité corporelle, la peine sera celle prévue à l’art. 140 CP. Le renvoi à l’art. 140 CP prévu à cet alinéa englobe l’ensemble des circonstances aggravantes du brigandage (Dupuis et al., Petit Commentaire du Code pénal, 2 e éd., Bâle 2017, n. 24 ad art. 156 CP et la référence citée).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La menace est un moyen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 crédules (Mazou, in : Macaluso/Moreillon/Queloz [éd.], Commentaire romand, Code pénal II, Bâle 2017, n. 10 ad art. 156 CP ; Weissenberger, in : Niggli/Wiprächtiger [éd.], Basler Kommentar, Strafrecht II, 4 e éd., Bâle 2018, n. 19 ad art. 156 CP).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w:t>
      </w:r>
    </w:p>
    <w:p>
      <w:r>
        <w:rPr>
          <w:b/>
        </w:rPr>
        <w:t>E. 3.2</w:t>
      </w:r>
    </w:p>
    <w:p>
      <w:r>
        <w:t>En l’espèce, I.________ s’était déjà prévalu de soi-disant contradictions émaillant les déclarations de la plaignante en première instance. Lorsque la plaignante expose à la police que l’appelant ne l’a pas frappée, elle fait référence à une rencontre antérieure (cf. PV aud. 2, R. 5). G.________  a, au contraire, fait un récit des événements parfaitement clair et détaillé. Elle a ainsi expliqué de façon constante que I.________, qui était insatisfait de la prestation, s’était énervé, qu’il l’avait frappée alors qu’elle sortait de la voiture, à la mâchoire notamment, qu’il était ensuite sorti en lui réclamant l’argent de la passe, qu’elle le lui avait donné pour qu’il arrête d’être agressif et parce qu’elle avait peur, et qu’il l’avait frappée à nouveau ensuite (PV aud. 1 p. 2 et PV aud. 11, l. 44 ss, 60 s.). A cela s’ajoute que le [...] a vu une femme se faire éjecter du siège passager d’une voiture, qu’elle criait, pleurait, semblait choquée et en panique ; que le témoin [...] a vu un homme frapper au visage une fille et qu’il a précisé qu’on voyait « qu’elle avait déjà ramassé avant, car son visage était rouge » ; et que le témoin [...] a assisté à un échange d’argent brutal et a vu un homme frapper une femme au visage. Ces témoignages corroborent les déclarations de la plaignante, tout particulièrement le fait qu’elle avait déjà été frappée avant de se trouver à l’extérieur du véhicule, ainsi que l’échange d’argent contesté. Le récit de la plaignante est également corroboré par les constatations de la police, intervenue immédiatement après les faits. On relèvera encore que l’intéressé a reconnu en cours d’instruction avoir déjà frappé une prostituée à la tête en 2019, et que les autres cas – non contestés – retenus à sa charge dans le cadre de la présente procédure démontrent que ses problèmes en rapport avec l’argent le rendent agressif, et qu’il est capable de s’en prendre physiquement à autrui. L’ensemble de ces éléments doit conduire à retenir sans le moindre doute que les faits se sont déroulés de la façon décrite par G.________ et à écarter les dénégations du prévenu. Ces faits sont constitutifs d’extorsion ou chantage qualifiés au sens de l’art. 156 ch. 3 CP, l’intéressé ayant obtenu la restitution du prix de la passe – qui était dû malgré son insatisfaction – après avoir frappé une première fois sa victime, et en ayant adopté un comportement menaçant pour son intégrité corporelle, menace qui a du reste été mise à exécution après la restitution de l’argent. Enfin, on ne saurait suivre l’appelant lorsqu’il soutient qu’il pouvait se croire en droit de demander la restitution de l’argent au vu de la qualité de la prestation, de sorte que le dessein d’enrichissement illégitime doit être retenu. La condamnation de I.________ pour extorsion et chantage qualifiés doit donc être confirmée.</w:t>
      </w:r>
    </w:p>
    <w:p>
      <w:r>
        <w:rPr>
          <w:b/>
        </w:rPr>
        <w:t>E. 4</w:t>
      </w:r>
    </w:p>
    <w:p>
      <w:r>
        <w:t>L’appelant n’a pas motivé son appel, ni n’a fait plaider la question de la peine, qui doit être réexaminée d’office.</w:t>
      </w:r>
    </w:p>
    <w:p>
      <w:r>
        <w:rPr>
          <w:b/>
        </w:rPr>
        <w:t>E. 4.1.1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4.1.3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4.2</w:t>
      </w:r>
    </w:p>
    <w:p>
      <w:r>
        <w:t>Les premiers juges ont considéré que la culpabilité de I.________ était lourde. Il s’était rendu coupable d’une série d’infractions et il n’y avait aucun élément à décharge, excepté la reconnaissance de dette concédée à la plaignante [...]. Il s’en était pris lâchement à une prostituée, vulnérable et sans défense, et cela n'était pas la première fois. Il n'hésitait pas, pour de l'argent, à frapper des femmes et à user d'une violence verbale inouïe à la moindre contrariété. Il n'avait aucun respect, ni pour son entourage, ni pour sa famille, ni pour l'autorité. Son attitude en audience, où de nombreuses remises à l'ordre avaient été nécessaires, en étaient l'ultime démonstration. Ces considérations doivent être suivies. On ne voit en effet pas quelle – autre – circonstance à décharge pourrait être retenue. Outre l’injure et la contravention, qui doivent être sanctionnées de peines différentes, toutes les infractions retenues justifient une peine privative de liberté pour des raisons évidentes de prévention. De façon générale, l’intéressé n’hésite pas à s’en prendre sans scrupules à l’intégrité corporelle ou à la propriété d’autrui, à menacer et harceler pour obtenir ce qu’il pense lui être dû – à tort ou à raison –, voire sans raison apparente (cas 5). Dans chaque cas, il a agi de façon impulsive et violente. Il est capable de s’en prendre physiquement et violemment aux femmes, ce qui est très grave. Il n’a cessé de commettre des infractions depuis 2019 et alors même qu’il avait déjà des condamnations à son actif. Il résulte également de ses déclarations encore à l’audience d’appel que la prise de conscience est nulle. L’infraction la plus grave, soit l’extorsion et chantage qualifiés retenue pour le cas 1, doit être sanctionnée d’une peine privative de liberté de 8 mois. En été 2021, I.________ a adressé à [...] des messages menaçants dans le but d’obtenir le paiement d’une somme dont on ignore si elle était due. Cette tentative de contrainte justifie d’augmenter la peine d’une durée de 1 mois par l’effet du concours. Les dommages à la propriété résultant du coup de pied donné dans la portière du véhicule de [...] le 7 février 2022 (cas 3) seront sanctionnés de 1 mois supplémentaire. Entre juillet et octobre 2022 (cas 4), I.________ a harcelé [...] par téléphone, et s’est rendu également à son domicile, afin d’obtenir le paiement d’une somme qu’il savait indue. La tentative d’extorsion et chantage qui résulte de ce comportement doit être sanctionnée d’une peine de 4 mois, et l’utilisation abusive d’une installation de télécommunication de 1 mois. L’intéressé s’est également, par le même comportement – si ce n’est qu’on ignore là encore si la somme en cause était indue –, rendu coupable de tentative de contrainte à l’encontre de [...], infraction qui doit être sanctionnée d’une peine de 1 mois supplémentaire. Le 8 octobre 2022 (cas 5), I.________ s’en est violemment pris [...], la rouant de coups, la faisant chuter puis continuant à la frapper au sol tout en la menaçant de mort. Il a en outre tenté de [...] avec une chaise et a cassé une vitre de sa voiture. Pour ces faits, la peine sera augmentée par l’effet du concours de 5 mois pour les lésions corporelles vu la gravité des faits, de 1 mois pour les menaces, de 1 mois pour la tentative de lésions corporelles simples qualifiées et de 1 mois pour les dommages à la propriété. La peine privative de liberté de 2 ans prononcée en première instance est par conséquent adéquate et doit être confirmée. L’appelant ne saurait par ailleurs bénéficier du sursis, le pronostic étant résolument défavorable. En effet, s’il a admis en première instance les cas qu’il ne pouvait de toute manière pas contester, il a encore démontré à l’audience d’appel qu’il était incapable de toute remise en question, déclarant qu’il n’était pas même certain d’avoir donné une petite claque à G.________ comme il l’avait dit auparavant (cf. supra p. 3), alors que trois témoins ont assisté à la scène. Les antécédents sont nombreux. Les peines prononcées avec sursis n’ont pas eu d’effet sur l’intéressé, et celui-ci n’a pas hésité à continuer à s’en prendre à [...] alors qu’il avait déjà déposé une première plainte en novembre 2021, puis une seconde en février 2022, ce qui démontre l’incapacité totale d’amendement de l’appelant. Pour le surplus, la peine pécuniaire sanctionnant les injures est adéquate, de même que l’amende sanctionnant la contravention à la LStup, qui ne sont pas contestées.</w:t>
      </w:r>
    </w:p>
    <w:p>
      <w:r>
        <w:rPr>
          <w:b/>
        </w:rPr>
        <w:t>E. 5</w:t>
      </w:r>
    </w:p>
    <w:p>
      <w:r>
        <w:t>Compte tenu de sa conclusion en acquittement de l’infraction d’extorsion et chantage, l’appelant soutient qu’il doit être renoncé à son expulsion – même facultative – du territoire suisse. Il soutient qu’il séjourne en Suisse depuis 17 ans, qu’il est au bénéfice d’une autorisation de séjour valable, qu’il a travaillé et qu’il parle couramment le français. Il se prévaut en outre de son état de santé, soit des troubles hépatiques dont il souffre et qui nécessitent des échographies périodiques (il devrait aussi prochainement faire l’objet d’une IRM). Il estime que le manque de prestations sanitaires dans son pays d’origine l’exposerait à une situation personnelle grave.</w:t>
      </w:r>
    </w:p>
    <w:p>
      <w:r>
        <w:rPr>
          <w:b/>
        </w:rPr>
        <w:t>E. 5.1</w:t>
      </w:r>
    </w:p>
    <w:p>
      <w:r>
        <w:t>L’art. 66a al. 1 let. c CP prévoient l’expulsion de Suisse, pour une durée de cinq à quinze ans, de l’étranger déclaré, comme en l’espèce, coupable d’extorsion et chantage qualifiés (art. 156 ch. 2 à 4 CP),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6B_1214/2022 du 2 octobre 2023 consid. 3.1.2).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 consid. 4.3 ; TF 6B_550/2023 du 25 octobre 2023 consid. 3.1.3).</w:t>
      </w:r>
    </w:p>
    <w:p>
      <w:r>
        <w:rPr>
          <w:b/>
        </w:rPr>
        <w:t>E. 5.2</w:t>
      </w:r>
    </w:p>
    <w:p>
      <w:r>
        <w:t>En l’espèce, l’appelant se trouve dans un cas d’expulsion obligatoire compte tenu de la confirmation de sa condamnation pour extorsion et chantage qualifiés, et de sa condamnation pour tentative d’extorsion et chantage. I.________ n’a cessé de commettre des infractions en tout genre durant les dernières années, comme en témoignent les quatre condamnations pénales prononcées contre lui depuis 2017, ainsi que les 6 cas retenus contre lui dans le cadre de la présente cause, soit des infractions commises entre 2019 et 2022. L’intéressé est violent et impulsif. Il n’hésite pas à s’en prendre à l’intégrité physique d’autrui, y compris à des femmes, pour des motifs futiles, par égoïsme ou appât du gain. Les faits retenus dans les cas 1 et 5 sont très graves. Les condamnations passées n’ont eu aucun effet ; I.________ a persisté à commettre des infractions alors même que des procédures étaient ouvertes contre lui. Il n’a aucun respect que ce soit pour les personnes ou pour l’ordre juridique du pays qui l’a accueilli. L’intérêt public commande son expulsion du territoire suisse. On discerne d’ailleurs avec peine quel intérêt privé l’appelant pourrait avoir à demeurer en Suisse. Il n’y a pas de famille, hormis une tante qui vit en Suisse allemande et avec laquelle il n’a pas de contacts. Il est marié mais une procédure de séparation est en cours depuis des années. Il a certes travaillé mais aujourd’hui il semble ne plus pouvoir en être capable, et cela ne l’a pas empêché de commettre des infractions. Il ne parle pas bien le français. Il n’a pas d’enfants mais a des dettes pour plus de 100'000 francs. L’appelant n’est pas intégré et est sans attaches avec la Suisse. En revanche, au Kosovo, l’intéressé a de la famille, soit un frère et ses parents. Il parle la langue de ce pays. Son renvoi ne peut ainsi pas être considéré comme le mettant dans une situation personnelle grave. Sur le plan de la santé, les pièces produites en annexe à l’appel révèlent que l’intéressé souffre d’une hépatite B chronique, traitée par une prise médicamenteuse et nécessitant une échographie de contrôle tous les 6 mois. Il est prévu qu’il subisse un contrôle par IRM afin d’évaluer une progression en taille d’hémangiomes, mais le bilan biologique datant du 19 avril 2023 montre des tests hépatiques dans la norme avec une fonction hépatocellulaire conservée et une virémie indétectable. L’évolution des affections de l’appelant paraît dès lors suffisamment maîtrisée sous l’angle médical. La jurisprudence du Tribunal fédéral impose d’examiner quelles sont les prestations de soin dans le pays d’origine. En l’occurrence, il résulte de la présentation faite par le Dr. [...] lors d’une séance du 27 octobre 2022 du VHPB (Viral Hepatitis Prevention Board – cf. www.vhpb.org/files/html/Meetings_ and_publications ), conseil d’experts reconnu par l’OMS (cf. www.who.int/teams/regulation-prequalification/regulation-and-safety/ pharmacovigilance/networks/vaccine-safety-net/vsn-members/viral-hepatitis-preventi on-board ) que l’hépatite B chronique est une maladie connue et traitée au Kosovo depuis 2009, avec d’importants progrès depuis lors, qu’il existe à ce jour trois types de médicaments disponibles, pris en charge par l’Etat et qu’une prise en charge est possible pour cette maladie dans sa forme aigüe à la Clinique des maladies infectieuses de Pristina. Partant, il existe des possibilités concrètes de traitement pour la maladie dont souffre l’appelant dans son pays d’origine, si bien que son renvoi ne le mettrait pas dans une situation personne grave sous cet angle non plus. C’est en outre le lieu de rappeler que, par principe, un étranger ne peut pas exciper de l'existence en Suisse de prestations médicales de qualité supérieure pour s'opposer à son renvoi dans un pays où le traitement s'avère disponible (TF 6B_1226/2021 du 1 er avril 2022 consid. 2.3.1).</w:t>
      </w:r>
    </w:p>
    <w:p>
      <w:r>
        <w:rPr>
          <w:b/>
        </w:rPr>
        <w:t>E. 6</w:t>
      </w:r>
    </w:p>
    <w:p>
      <w:r>
        <w:t>Conformément à l’art. 51 CP, la détention subie depuis le jugement de première instance sera déduite de la peine privative de liberté prononcée. Pour garantir l’exécution de la peine et de l’expulsion et au vu notamment du risque de fuite présenté par l’intéressé, qui n’a pratiquement aucune attache en Suisse comme on l’a vu et qui risquerais de disparaître dans la clandestinité pour se soustraire à son renvoi, mais également du risque de récidive d’actes violents, le maintien de l’appelant en détention pour des motifs de sûreté doit être ordonné.</w:t>
      </w:r>
    </w:p>
    <w:p>
      <w:r>
        <w:rPr>
          <w:b/>
        </w:rPr>
        <w:t>E. 7</w:t>
      </w:r>
    </w:p>
    <w:p>
      <w:r>
        <w:t>Au vu de ce qui précède, l’appel de I.________ doit être rejeté et le jugement entrepris confirmé. Il sera également pris acte du retrait du recours de Me Luc Vaney. Le défenseur d’office de I.________ a produit une liste d’opérations dont il n’y a pas lieu de s’écarter, si ce n’est pour adapter à la baisse le temps surestimé consacré à l’audience d’appel.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Luc Vaney doit être fixée, pour les opérations effectuées, jusqu’au 31 décembre 2023, à 711 fr. 85, soit 648 fr. (3,6 heures x 180 fr.) à titre d’honoraires, 12 fr. 96 de débours forfaitaires à 2% et non 5% (cf. art. 3bis al. 1 RAJ) et 50 fr. 89 de TVA au taux de 7,7% sur le tout (art. 2 al. 3 RAJ ; art. 25 al. 1 LTVA [Loi fédérale du 12 juin 2009 régissant la taxe sur la valeur ajoutée ; RS 641.20]), et, pour les opérations effectuées depuis le 1 er janvier 2024, à 804 fr. 52, soit 612 fr. (3,4 heures x 180 fr.) à titre d’honoraires,</w:t>
      </w:r>
    </w:p>
    <w:p>
      <w:r>
        <w:rPr>
          <w:b/>
        </w:rPr>
        <w:t>E. 12</w:t>
      </w:r>
    </w:p>
    <w:p>
      <w:r>
        <w:t>fr. 24 de débours forfaitaires, 120 fr. pour une vacation et 60 fr. 28 de TVA au taux de 8,1% sur le tout, ce qui porte l’indemnité à 1'516 fr. 40 au total. Vu l’issue de la cause, les frais de la procédure d’appel, par 4'526 fr. 40, constitués en l’espèce de l’émolument d’audience et de jugement, par 3'010 fr. (art. 21 al. 1 TFIP [tarif des frais de procédure et indemnités en matière pénale du 28 septembre 2010 ; BLV 312.03.1]), ainsi que de l’indemnité allouée à son défenseur d’office, seront mis à la charge de l'appelant, qui succombe (art. 428 al. 1 CPP). I.________ ne sera tenu de rembourser à l’Etat le montant de l’indemnité allouée à son défenseur d’office que lorsque sa situation financière le permettra. La Cour d’appel pénale appliquant les articles 34, 40, 47, 49 al. 1, 50, 51, 66a al. 1 let. c, 69, 70, 103, 106, 123 ch. 1 al. 1, 123 ch. 2 al. 2 ad 22 al. 1, 144 al. 1, 156 ch. 1 et 3, 156 ch. 1 et 2 ad 22 al. 1, 177 al. 1, 179 septies, 180 al. 1, 181 ad 22 al. 1 CP ; 19a ch. 1 LStup et 398 ss CPP, prononce : I. L’appel est rejeté. II. Il est pris acte du retrait du recours interjeté par Me Luc Vaney le 5 octobre 2023. III. Le jugement rendu le 20 septembre 2023 par le Tribunal correctionnel de l’arrondissement de Lausanne et rectifié le 6 octobre 2023 est confirmé selon le dispositif suivant : " I. constate que I.________ s’est rendu coupable de lésions corporelles simples, tentative de lésions corporelles simples qualifiées, dommages à la propriété, extorsion et chantage qualifiés, tentative d’extorsion et chantage qualifiés, tentative de contrainte, injure, utilisation abusive d’une installation de télécommunication, menaces et contravention à la Loi fédérale sur les stupéfiants ; II. condamne I.________ à une peine privative de liberté de 2 (deux) ans, sous déduction de 270 (deux cent septante) jours de détention avant jugement et de 3 (trois) jours de détention dans des conditions illicites, ainsi qu’à une amende de 900 fr. (neuf cents francs), convertible en 9 (neuf) jours de détention en cas de non-paiement dans le délai imparti, et à une peine pécuniaire de 10 (dix) jours-amende à 30 fr. (trente francs) le jour ; III. ordonne le maintien de I.________ en détention pour des motifs de sûreté ; IV. ordonne l’expulsion de I.________ du territoire suisse pour une durée de 10 (dix) ans et l’inscription de cette mesure au Système d’information Schengen (SIS) ; V. ordonne le maintien au dossier, au titre de pièces à conviction, du DVD inventorié sous fiche n o 35681, du CD inventorié sous fiche n o 35701, ainsi que de la clé USB inventoriée sous fiche n o 32405, et la confiscation et la destruction du téléphone portable séquestré sous fiche n o 35907 ; VI. prend acte, pour valoir décision exécutoire sur les conclusions civiles, de la reconnaissance de dette de I.________ en faveur de [...] par laquelle il s’est reconnu son débiteur d’un montant net de 1'500 fr. (mille cinq cents francs), qu’il s’est engagé à rembourser par mensualités de 150 fr. (cent cinquante francs) ; VII. dit que I.________ est débiteur de [...] de la somme de 3'500 fr. (trois mille cinq cents francs), valeur échue, à titre de dépens pénaux et renvoie ce dernier à agir devant le juge civil pour faire valoir le solde de ses prétentions ; VIII. met les frais, par 20'128 fr. 80, à la charge de I.________, montant qui comprend l’indemnité d’office allouée à Me Luc Vaney à hauteur de 4'880 fr. 45, ainsi que celle allouée à son précédent conseil Me Mathias Burnand, à hauteur de 5'153 fr. 45, et dit que ces indemnités ne seront exigibles du condamné que pour autant que sa situation financière le permette." IV. La détention subie depuis le jugement de première instance est déduite. V. Le maintien de I.________ en détention pour des motifs de sûreté est ordonné. VI. Une indemnité de défenseur d'office pour la procédure d'appel d'un montant de 1'516 fr. 40 , TVA et débours inclus, est allouée à Me Luc Vaney. VII. Les frais d'appel, par 4'526 fr. 40, y compris l'indemnité d’office précitée, sont mis à la charge de I.________. VIII. I.________ ne sera tenu de rembourser à l’Etat de Vaud le montant de l’indemnité allouée à son défenseur d’office que lorsque sa situation financière le permettra . Le président :              Le greffier : Du Le jugement qui précède, dont le dispositif a été communiqué par écrit aux intéressés le 24 janvier 2024 , est notifié, par l'envoi d'une copie complète, à : - Me Luc Vaney, avocat (pour I.________), - Mme G.________, - Ministère public central, et communiqué à : - Mme la Présidente du Tribunal correctionnel de l'arrondissement de Lausanne, - M. le Procureur de l'arrondissement de Lausanne, - Office d'exécution des peines, - Prison du Bois-Mermet,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