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255 vom 17. Oktober 2023</w:t>
      </w:r>
    </w:p>
    <w:p>
      <w:r>
        <w:t>VD Tribunal cantonal, 2023-10-17, FR</w:t>
      </w:r>
    </w:p>
    <w:p>
      <w:r>
        <w:rPr>
          <w:b/>
        </w:rPr>
        <w:t xml:space="preserve">Quelle: </w:t>
      </w:r>
      <w:r>
        <w:t>https://mcp.opencaselaw.ch/entscheid/vd_findinfo_Jug___2024___255</w:t>
      </w:r>
    </w:p>
    <w:p>
      <w:r>
        <w:t>FR: VD_FINDINFO Jug / 2024 / 255 du 17 octobre 2023</w:t>
      </w:r>
    </w:p>
    <w:p>
      <w:r>
        <w:t>IT: VD_FINDINFO Jug / 2024 / 255 del 17 ottobre 2023</w:t>
      </w:r>
    </w:p>
    <w:p>
      <w:pPr>
        <w:pStyle w:val="Heading2"/>
      </w:pPr>
      <w:r>
        <w:t>Regeste</w:t>
      </w:r>
    </w:p>
    <w:p>
      <w:r>
        <w:t>PEINE PRIVATIVE DE LIBERTÉ, FIXATION DE LA PEINE, RÉVOCATION DU SURSIS, SURSIS À L'EXÉCUTION DE LA PEINE, PEINE D'ENSEMBLE, CONCOURS D'INFRACTIONS | 146 al. 1 CP, 42 al. 1 CP, 46 al. 1 CP, 47 CP, 49 al. 1 CP, 53 CP, 398 al. 3 let. a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réf. cit.).</w:t>
      </w:r>
    </w:p>
    <w:p>
      <w:r>
        <w:rPr>
          <w:b/>
        </w:rPr>
        <w:t>E. 3.1</w:t>
      </w:r>
    </w:p>
    <w:p>
      <w:r>
        <w:t>;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 er mai 2014 consid. 2.2 et réf. cit.).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3.2.1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3.2.2</w:t>
      </w:r>
    </w:p>
    <w:p>
      <w:r>
        <w:t>Selon l'art. 53 CP,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 TF 6B_91/2021 du 30 juin 2021 consid. 1.3.1 ; TF 6B_346/2020 du 21 juillet 2020 consid. 2.2).</w:t>
      </w:r>
    </w:p>
    <w:p>
      <w:r>
        <w:rPr>
          <w:b/>
        </w:rPr>
        <w:t>E. 3.2.3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w:t>
      </w:r>
    </w:p>
    <w:p>
      <w:r>
        <w:rPr>
          <w:b/>
        </w:rPr>
        <w:t>E. 3.2.4</w:t>
      </w:r>
    </w:p>
    <w:p>
      <w:r>
        <w:t>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3.2.5</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1er mai 2020 consid.</w:t>
      </w:r>
    </w:p>
    <w:p>
      <w:r>
        <w:rPr>
          <w:b/>
        </w:rPr>
        <w:t>E. 3.3</w:t>
      </w:r>
    </w:p>
    <w:p>
      <w:r>
        <w:t>V.________ est reconnu coupable d’escroquerie (cas 2 et cas 3), infraction passible d’une peine privative de liberté de cinq ans au plus ou d’une peine pécuniaire. Tout d’abord, les conditions de l’art. 53 CP ne sont pas réalisées. Si l’appelant ne conteste plus les faits retenus contre lui en appel, il n’a eu de cesse de se considérer comme une victime jusqu’au débats de première instance (jugement p. 3), ne se remettant jamais en question. Le prévenu a certes remboursé le montant de 7'000 fr. à la plaignante, mais c’est grâce à l’argent de l’un de ses parents, qu’il dit rembourser par acomptes sans toutefois en apporter la moindre preuve. Au surplus, l’intérêt public au prononcé d’une sanction subsiste, sous peine de vider de sa substance la norme pénale pour considérer les escroqueries comme des litiges purement civils, l’escroc pouvant se disculper par le simple remboursement. Il n’y a dès lors aucune place pour une exemption de peine. S’agissant de la culpabilité du prévenu, ses antécédents sont défavorables, puisqu’il a déjà été condamné à deux reprises pour des infractions patrimoniales. Ceux-ci témoignent de son absence de considération pour les décisions judiciaires rendues. Son attitude en procédure a été déplorable, car il a tenté de se justifier en expliquant avoir été lésé par son assurance qui ne l’aurait pas indemnisé correctement lors d’un précédent sinistre (jugement p. 4), minimisant ainsi sa culpabilité. Aux débats de première instance (jugement p. 5) comme à l’audience d’appel (p. 3), il s’est apitoyé sur son sort en évoquant sa situation de famille et son absence de formation. Les infractions commises sont en concours. A décharge, il sera tenu compte de sa fragilité psychologique et des regrets tardivement exprimés. Pour des motifs de prévention spéciale, une peine privative de liberté s’impose pour sanctionner les infractions commises, alors même l’art. 146 al. 1 CP prévoit alternativement une peine privative de liberté ou une peine pécuniaire, la précédente condamnation du prévenu à une peine privative de liberté avec sursis étant demeurée inefficace. Il est à craindre qu’une peine pécuniaire soit sans effet sur le prévenu qui obtient toujours de l’aide financière de tiers. Seule l’exécution d’une peine ferme peut provoquer un effet de choc sur le prévenu, qui n’a jusqu’à présent montré aucune prise de conscience. S’agissant de la révocation du sursis accordé le 7 juin 2021, comme relevé par la Procureure dans son ordonnance pénale (P. 24 pp. 1 et 3), le prévenu n’agit pas par fainéantise comme il veut le faire croire, mais il fait preuve d’une grande détermi­nation pour subvenir à ses besoins sans travailler, puisque ses agissements illicites ont débuté en mai 2013, soit à peine il s’était vu reconnaître le droit à des prestations de l’aide sociale. Sa dernière condamnation du 7 juin 2021 à une peine privative de liberté de 5 mois avec sursis pendant 5 ans ne l’a pas dissuadé de récidiver à deux reprises à peine une année après en commettant la même infraction, alors même que la Procureure avait clairement expliqué dans son ordonnance qu’il remplissait « de justesse » les conditions d’octroi du sursis (P. 24 p. 4). Son interpellation a provoqué chez lui un électrochoc, qui lui a fait prendre conscience que son sursis pouvait être révoqué. C’est à compter de ce moment-là qu’il s’est mis à chercher activement du travail et qu’il s’est rendu compte que son casier judiciaire pouvait être un obstacle à son embauche. Le pronostic est clairement défavorable. Compte tenu de la double récidive spéciale durant le délai d’épreuve et au vu de l’absence de remise en question de l’appelant, c’est à juste titre que le premier juge a prononcé une peine ferme et qu’il a révoqué le sursis qui lui avait été précédemment accordé, dès lors que l’on ne saurait considérer que l’exécution de la peine à prononcer dans le cadre de la présente procédure aurait un effet dissuasif suffisant justifiant de renoncer à la révocation du sursis antérieur. Il s’ensuit que le sursis doit être révoqué et une peine d’ensemble prononcée. En application du principe de l’aggravation, la révocation du sursis justifie en définitive le prononcé d’une peine privative de liberté ferme d’ensemble de 6 mois. La peine prononcée par le premier juge peut ainsi être confirmée, d’autant qu’une telle peine privative de liberté reste aménageable si le prévenu justifie d’une activité professionnelle.</w:t>
      </w:r>
    </w:p>
    <w:p>
      <w:r>
        <w:rPr>
          <w:b/>
        </w:rPr>
        <w:t>E. 4.1</w:t>
      </w:r>
    </w:p>
    <w:p>
      <w:r>
        <w:t>L’appelant sollicite la levée du séquestre concernant son ordinateur portable « [...] ».</w:t>
      </w:r>
    </w:p>
    <w:p>
      <w:r>
        <w:rPr>
          <w:b/>
        </w:rPr>
        <w:t>E. 4.2</w:t>
      </w:r>
    </w:p>
    <w:p>
      <w:r>
        <w:t>Conformément à l'art. 268 al. 1 let. a CPP, le patrimoine d'un prévenu peut être séquestré dans la mesure qui paraît nécessaire pour couvrir les frais de procédure et les indemnités à verser. Il importe peu que les éléments du patrimoine concernés soient ou non le produit de l’activité illicite du prévenu pour qu'ils puissent être conservés à titre de garantie de la couverture des frais de procédure, en application de l'art. 268 al. 1 let. a CPP. La dévolution à l'Etat du patrimoine séquestré au titre de couverture des frais est en effet usuelle et non subordonnée à un lien de connexité, contrairement à la confiscation des valeurs patrimoniales de l'art. 70 CP (cf. CAPE 8 juin 2022/172 consid. 7 ; CAPE 19 mai 2022/117 consid. 2).</w:t>
      </w:r>
    </w:p>
    <w:p>
      <w:r>
        <w:rPr>
          <w:b/>
        </w:rPr>
        <w:t>E. 4.3</w:t>
      </w:r>
    </w:p>
    <w:p>
      <w:r>
        <w:t>L’appelant souhaite récupérer son portable. Ce bien a été saisi après la perquisition et le prévenu a démontré qu’il ne s’agissait pas d’un objet annoncé comme volé à l’assurance [...]. Peu importe que le portable séquestré soit sans lien avec l’activité délictueuse de l’appelant, puisque l’art. 268 al. 1 let. a CPP autorise le séquestre du patrimoine d’un prévenu pour couvrir les frais de procédure. Il ne s’agit pour le surplus pas d’un bien insaisissable au sens de l’art. 92 LP. Il convient donc de maintenir le séquestre sur le portable de l’appelant et d’ordonner sa dévolution à l’Etat en paiement des frais de procédure. Le premier juge a ordonné la « confiscation » des objets séquestrés sous fiche n o 36459 en paiement partiel des frais de procédure. Le chiffre V du dispositif du jugement entrepris doit être rectifié d’office en application de l’art. 83 al. 1 CPP, la dévolution de biens à l’Etat au titre de couverture des frais supposant le « maintien du séquestre » des objets saisis, et non leur « confiscation » au sens des art. 69 ss CP.</w:t>
      </w:r>
    </w:p>
    <w:p>
      <w:r>
        <w:rPr>
          <w:b/>
        </w:rPr>
        <w:t>E. 5</w:t>
      </w:r>
    </w:p>
    <w:p>
      <w:r>
        <w:t>La condamnation de l’appelant étant confirmée en appel, sa conclusion tendant à l’octroi d’une indemnité au sens de l’art. 429 CPP doit être rejetée.</w:t>
      </w:r>
    </w:p>
    <w:p>
      <w:r>
        <w:rPr>
          <w:b/>
        </w:rPr>
        <w:t>E. 6</w:t>
      </w:r>
    </w:p>
    <w:p>
      <w:r>
        <w:t>En définitive, l’appel interjeté par V.________ doit être rejeté et le jugement entrepris confirmé, le chiffre V du dispositif étant rectifié d’office dans le sens des considérants. Vu l’issue de la cause, les frais de la procédure d’appel, constitués en l’espèce du seul émolument de jugement, par 2'130 fr. (art. 21 al. 1 et 2 TFIP [Tarif des frais de procédure et indemnités en matière pénale du 28 septembre 2010 ; BLV 312.03.1]),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