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254 vom 24. November 2023</w:t>
      </w:r>
    </w:p>
    <w:p>
      <w:r>
        <w:t>VD Tribunal cantonal, 2023-11-24, FR</w:t>
      </w:r>
    </w:p>
    <w:p>
      <w:r>
        <w:rPr>
          <w:b/>
        </w:rPr>
        <w:t xml:space="preserve">Quelle: </w:t>
      </w:r>
      <w:r>
        <w:t>https://mcp.opencaselaw.ch/entscheid/vd_findinfo_Jug___2024___254</w:t>
      </w:r>
    </w:p>
    <w:p>
      <w:r>
        <w:t>FR: VD_FINDINFO Jug / 2024 / 254 du 24 novembre 2023</w:t>
      </w:r>
    </w:p>
    <w:p>
      <w:r>
        <w:t>IT: VD_FINDINFO Jug / 2024 / 254 del 24 novembre 2023</w:t>
      </w:r>
    </w:p>
    <w:p>
      <w:pPr>
        <w:pStyle w:val="Heading2"/>
      </w:pPr>
      <w:r>
        <w:t>Regeste</w:t>
      </w:r>
    </w:p>
    <w:p>
      <w:r>
        <w:t>EXPULSION{DROIT PÉNAL}, LOI FÉDÉRALE SUR LES STUPÉFIANTS ET LES SUBSTANCES PSYCHOTROPES, LOI FÉDÉRALE SUR LES ÉTRANGERS ET L'INTÉGRATION, VIOLATION DE DOMICILE, UTILISATION FRAUDULEUSE D'UN ORDINATEUR, TENTATIVE{DROIT PÉNAL}, RESPONSABILITÉ RESTREINTE{DROIT PÉNAL} | 139 ch. 2 CP, 147 CP, 172ter CP, 186 CP, 19 al. 2 CP, 22 ad 147 CP, 66a al. 1 let. c CP, 19 al. 1 LStup, 19a LStup, 115 al. 1 let. b LEI</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A titre liminaire, s’agissant des infractions retenues dans la présente cause la Cour de céans constate que, à l’exception de l’art. 139 CP (cf. consid. 4.2.1 ci-dessous), les modifications entrées en vigueur le 1 er juillet 2023 sont uniquement d’ordre grammatical et ne sont pas plus favorables à l’appelant, de sorte que l’ancien droit demeure applicable (Code pénal suisse du 21 décembre 1937 ; RS 311.0).</w:t>
      </w:r>
    </w:p>
    <w:p>
      <w:r>
        <w:rPr>
          <w:b/>
        </w:rPr>
        <w:t>E. 3.1</w:t>
      </w:r>
    </w:p>
    <w:p>
      <w:r>
        <w:t>L’appelant invoque une violation de la maxime d’accusation. Il soutient que l’acte d’accusation ne décrirait pas les faits susceptibles de constituer le vol par métier et n’aurait pas tenu compte de sa diminution de responsabilité pénale et de ses troubles psychiques.</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consid. 2.1).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consid. 2.1).</w:t>
      </w:r>
    </w:p>
    <w:p>
      <w:r>
        <w:rPr>
          <w:b/>
        </w:rPr>
        <w:t>E. 3.3</w:t>
      </w:r>
    </w:p>
    <w:p>
      <w:r>
        <w:t>En l’espèce, l’aggravante du vol par métier de l’art. 139 ch. 2 aCP suppose la réunion de trois éléments, soit la commission de plusieurs vols, l’objectif d’en tirer une forme de revenu ou de moyen de subsistance et le fait d’être disposé à commettre, à l’avenir, un nombre indéterminé d’infractions du même genre. Or, l’acte d’accusation énumère tous les cas de vol imputés à l’appelant et indique les dates et lieux des actes en question, ainsi que la valeur des objets dérobés. Ces éléments sont suffisants pour comprendre pour quelle raison l’aggravante du métier était envisagée par le Ministère public. Pour le reste, le profil psychologique, les troubles de l’appelant, ainsi que sa diminution de responsabilité n’ont pas à figurer dans l’acte d’accusation. En conséquence, le grief doit être rejeté.</w:t>
      </w:r>
    </w:p>
    <w:p>
      <w:r>
        <w:rPr>
          <w:b/>
        </w:rPr>
        <w:t>E. 4.1</w:t>
      </w:r>
    </w:p>
    <w:p>
      <w:r>
        <w:t>L’appelant invoque l’absence d’unité naturelle d’action entre les différents vols ou tentatives de vol. Il soutient qu’il était décompensé, qu’il présentait des affections psychiques graves avec une diminution importante de la responsabilité et que les infractions commises ne procédaient pas d’une décision unique mais étaient circonstancielles. Ces infractions auraient été induites par son état médical dégradé ainsi que par la nécessité de s’approvisionner en stupéfiants et constitueraient des actes isolés les uns des autres, à analyser séparément. Les vols n’auraient en outre pas été commis dans le but d’en tirer un revenu ou un moyen de subsistance, mais uniquement pour se procurer des stupéfiants. L’appelant affirme ainsi qu’il ne pourrait être possible de retenir l’aggravante du métier, qu’il conviendrait de retenir le vol de faible importance au sens des art. 139 ch. 1 et 172 ter CP s’agissant des cas 2, 10, 12 et 13 et qu’il devrait être libéré des cas 3 à 5, la tentative de vol de faible importance n’étant pas punissable.</w:t>
      </w:r>
    </w:p>
    <w:p>
      <w:r>
        <w:rPr>
          <w:b/>
        </w:rPr>
        <w:t>E. 4.2.1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L’art. 139 CP a été modifié le 1 er juillet 2023, soit postérieurement aux faits. En application de l’ancien droit, le vol par métier était sanctionné d’une peine privative de liberté de dix ans au plus ou d’une peine pécuniaire de 90 jours-amende au moins. Le nouveau droit prévoit quant à lui une peine privative de liberté de six mois à dix ans. L’art. 139 aCP, qui permettait de prononcer une peine pécuniaire, est plus favorable à l’appelant et reste applicable.</w:t>
      </w:r>
    </w:p>
    <w:p>
      <w:r>
        <w:rPr>
          <w:b/>
        </w:rPr>
        <w:t>E. 4.2.2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La qualification de métier englobe dans une même qualification aussi bien les vols que les tentatives de vol (ATF 123 IV 113 consid. 2d ; TF 6B_36/2019 du 2 juillet 2019 consid. 3.3).</w:t>
      </w:r>
    </w:p>
    <w:p>
      <w:r>
        <w:rPr>
          <w:b/>
        </w:rPr>
        <w:t>E. 4.2.3</w:t>
      </w:r>
    </w:p>
    <w:p>
      <w:r>
        <w:t>En application de l’art. 172 ter al. 1 aCP, si l’acte ne visait qu’un élément patrimonial de faible valeur ou un dommage de moindre importance, l’auteur sera, sur plainte, puni d’une amende. Un élément patrimonial est de faible valeur s'il ne vaut pas plus de 300 fr. (ATF 142 IV 129 consid. 3.1 ; TF 6B_490_2023 précité consid. 3.1). C’est l'intention qui est déterminante et non le résultat obtenu. L'art. 172 ter CP n'est applicable que si l'auteur n'avait d'emblée en vue qu'un élément patrimonial de faible valeur (ATF 123 IV 155 consid. 1a ; ATF 122 IV 156 consid. 2a). Lorsque l'intention de l'auteur, y compris sous la forme du dol éventuel, portait sur un montant supérieur à la valeur limite admise, l'art. 172 ter CP ne trouve pas application, même si le montant du délit est inférieur à 300 francs (ATF 123 IV 197 consid. 2a ; ATF 123 IV 113 consid. 3f). L'art. 172 ter al. 1 aCP n'est pas applicable au vol qualifié (art. 139 ch. 2 aCP), au brigandage, ainsi qu'à l'extorsion et au chantage (art. 172 ter al. 2 aCP).</w:t>
      </w:r>
    </w:p>
    <w:p>
      <w:r>
        <w:rPr>
          <w:b/>
        </w:rPr>
        <w:t>E. 4.3</w:t>
      </w:r>
    </w:p>
    <w:p>
      <w:r>
        <w:t>Du 2 juin au 20 septembre 2022, l’appelant a commis neuf vols ou tentatives de vols. Il a ainsi agi à de nombreuses reprises sur une courte période. Il a été mû par l’objectif d’obtenir un revenu lui permettant de financer sa consommation de cocaïne. Contrairement à ce que soutient l’appelant, les gains relativement minimes dégagés par certains des vols n’excluent pas une qualification de vol par métier. Les gains obtenus ont permis un apport notable au financement de son genre de vie. Celui-ci vivait uniquement de l’aide d’urgence au moment des faits et les vols lui ont permis de financer sa consommation de stupéfiants. Au regard de ces éléments, les conditions de l’aggravante du métier sont réalisées, l’ensemble des vols étant considéré comme une unité sur le plan juridique. L’infraction d’importance mineure ne peut trouver application, puisque exclue pour le vol qualifié. Les troubles et l’état psychique de l’appelant ne sont pas de nature à modifier cette appréciation. Ceux-ci seront pris en compte dans l’examen de la culpabilité de l’intéressé. Le grief est par conséquent rejeté.</w:t>
      </w:r>
    </w:p>
    <w:p>
      <w:r>
        <w:rPr>
          <w:b/>
        </w:rPr>
        <w:t>E. 5.1</w:t>
      </w:r>
    </w:p>
    <w:p>
      <w:r>
        <w:t>L’appelant conteste sa condamnation pour violation de domicile dans le cas n° 5. Il soutient que rien n’indique que l’interdiction qui lui a été faite de pénétrer dans le magasin [...] ait été émise par les organes de la société compétents pour la prononcer. Il invoque en outre que le document en question ne lui a pas été traduit, qu’il n’a ainsi compris qu’il s’agissait d’une interdiction d’entrer que le 5 juillet 2022 après que la police le lui ait expliqué et que rien ne permettrait d’affirmer qu’on lui a fait comprendre que cette interdiction était valable dans tous les magasins [...] de Suisse.</w:t>
      </w:r>
    </w:p>
    <w:p>
      <w:r>
        <w:rPr>
          <w:b/>
        </w:rPr>
        <w:t>E. 5.2</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w:t>
      </w:r>
    </w:p>
    <w:p>
      <w:r>
        <w:rPr>
          <w:b/>
        </w:rPr>
        <w:t>E. 5.3</w:t>
      </w:r>
    </w:p>
    <w:p>
      <w:r>
        <w:t>En l’espèce, l’appelant a signé l’interdiction d’entrée prononcée à son encontre, indiquant l’avoir comprise (P. 7). En outre, il a déclaré ce qui suit lors des débats de première instance : « Pour vous répondre, je suis entré dans [...] alors que je savais que je n’avais pas le droit d’y entrer » (jugement, p. 8). Il apparaît ainsi que l’appelant avait parfaitement compris l’interdiction qui lui avait été faite. Pour le reste, rien ne permet de penser que les représentants de la sécurité de Manor ne seraient pas autorisés à adresser des interdictions d’entrée. Partant, la condamnation de l’appelant pour violation de domicile doit être confirmée.</w:t>
      </w:r>
    </w:p>
    <w:p>
      <w:r>
        <w:rPr>
          <w:b/>
        </w:rPr>
        <w:t>E. 6.1</w:t>
      </w:r>
    </w:p>
    <w:p>
      <w:r>
        <w:t>L’appelant invoque une légitime défense putative pour les cas 9 et 14. Il soutient que, lors de ces deux altercations, il présentait un état psychique décompensé et des symptômes psychotiques altérant de manière importante sa perception de la réalité. Il ajoute qu’au moment des faits il se trouvait sous l’effet de stupéfiants et n’avait pas dormi depuis plusieurs jours. Son erreur aurait ainsi été inévitable.</w:t>
      </w:r>
    </w:p>
    <w:p>
      <w:r>
        <w:rPr>
          <w:b/>
        </w:rPr>
        <w:t>E. 6.2.1</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(ATF 129 IV 238 consid. 3.1 ; TF 6B_1396/2022 du</w:t>
      </w:r>
    </w:p>
    <w:p>
      <w:r>
        <w:rPr>
          <w:b/>
        </w:rPr>
        <w:t>E. 6.3</w:t>
      </w:r>
    </w:p>
    <w:p>
      <w:r>
        <w:t>En l’espèce, l’appelant s’est trouvé, dans les deux cas, en conflit avec des tierces personnes, qui n’étaient pas munies d’armes. L’utilisation d’un couteau était totalement injustifiable et hors de proportion au regard du danger présenté par ses antagonistes. Il ne s’est ainsi jamais trouvé en état de légitime défense et ses troubles psychiatriques ne pouvaient le lui laisser penser. Sa faute est toutefois atténuée, compte tenu de sa diminution de responsabilité. Le grief doit donc être rejeté.</w:t>
      </w:r>
    </w:p>
    <w:p>
      <w:r>
        <w:rPr>
          <w:b/>
        </w:rPr>
        <w:t>E. 7</w:t>
      </w:r>
    </w:p>
    <w:p>
      <w:r>
        <w:t>juin 2023 consid. 3.1). L’erreur sur les faits peut aussi porter sur un fait justificatif, tel le cas de l'état de nécessité ou de la légitime défense putatifs (voir par ex.: ATF 125 IV 49 consid. 2) ou encore sur un autre élément qui peut avoir pour effet d'atténuer ou d'exclure la peine (ATF 117 IV 270 consid. 2b).</w:t>
      </w:r>
    </w:p>
    <w:p>
      <w:r>
        <w:rPr>
          <w:b/>
        </w:rPr>
        <w:t>E. 7.1</w:t>
      </w:r>
    </w:p>
    <w:p>
      <w:r>
        <w:t>L’appelant conteste sa condamnation pour infraction à l’art. 19 al. 1 let. g LStup (Loi fédérale sur les stupéfiants et les substances psychotropes du 3 octobre 1951 ; RS 812.121) pour le cas 14, dès lors qu’il n’avait pas de drogue en sa possession, mais uniquement des médicaments.</w:t>
      </w:r>
    </w:p>
    <w:p>
      <w:r>
        <w:rPr>
          <w:b/>
        </w:rPr>
        <w:t>E. 7.2</w:t>
      </w:r>
    </w:p>
    <w:p>
      <w:r>
        <w:t>Aux termes de l’art. 19 al. 1 let. g LStup, est puni d’une peine privative de liberté de trois ans au plus ou d’une peine pécuniaire celui qui prend des mesures aux fins de commettre une des infractions visées aux let. a à f.</w:t>
      </w:r>
    </w:p>
    <w:p>
      <w:r>
        <w:rPr>
          <w:b/>
        </w:rPr>
        <w:t>E. 7.3</w:t>
      </w:r>
    </w:p>
    <w:p>
      <w:r>
        <w:t>En l’espèce, l’appelant a proposé un produit à Z.________, qui cherchait de l’ecstasy. Lors des débats de première instance, l’appelant a expliqué qu’il ne s’agissait pas de produits stupéfiants mais de médicaments, soit du Lyrica et Gabimonti. Ces substances ne figurent pas dans les tableaux de l’OTStup-DFI (Ordonnance du DFI sur les tableaux des stupéfiants, des substances psychotropes, des précurseurs et des adjuvants chimiques du 30 mai 2011 ; RS 812.121.11). En l’absence d’élément venant contredire la version de l’appelant, il y a lieu de le libérer de l’infraction à la LStup en lien avec le cas 14.</w:t>
      </w:r>
    </w:p>
    <w:p>
      <w:r>
        <w:rPr>
          <w:b/>
        </w:rPr>
        <w:t>E. 8.1</w:t>
      </w:r>
    </w:p>
    <w:p>
      <w:r>
        <w:t>L’appelant conteste la peine infligée. Il estime que la diminution de ses capacités volitives et sa consommation de stupéfiants n’auraient pas suffisamment été prises en compte par les premiers juges. Il requiert en outre l’octroi d’un sursis. Sa détention ayant eu sur lui un effet de sevrage, un traitement ambulatoire serait suffisant pour pallier le risque de récidive lié à sa maladie.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Si tel est le cas, il doit fixer une peine complémentaire à la peine de base en tenant compte du principe de l'aggravation découlant de l'art. 49 al. 1 CP. Si les faits nouveaux contiennent l'infraction la plus grave, il faut augmenter la peine complémentaire dans une juste mesure en fonction de la peine de base. La réduction de la peine de base, intervenue à la suite du principe d'aggravation, doit être soustraite de la peine des faits nouveaux pour donner la peine complémentaire. Ensuite, le juge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ATF 142 IV 265 consid. 2.4.4, JdT 2017 IV 129). S’agissant d’actes constitutifs d’une infraction commise par métier, dont certains sont antérieurs et d'autres postérieurs à une précédente condamnation, le Tribunal fédéral estime que le juge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(ATF 145 IV 377 consid. 2.3.3).</w:t>
      </w:r>
    </w:p>
    <w:p>
      <w:r>
        <w:rPr>
          <w:b/>
        </w:rPr>
        <w:t>E. 8.2.3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6B_746/2022 du 30 mars 2023 consid. 4.2).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 TF 6B_746/2022 précité consid. 4.2 ; TF 6B_151/2022 du 10 novembre 2022 consid. 2.2).</w:t>
      </w:r>
    </w:p>
    <w:p>
      <w:r>
        <w:rPr>
          <w:b/>
        </w:rPr>
        <w:t>E. 8.2.4</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8.2.5</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du 17 août 2023 consid. 4.1.1 et réf. cit.).</w:t>
      </w:r>
    </w:p>
    <w:p>
      <w:r>
        <w:rPr>
          <w:b/>
        </w:rPr>
        <w:t>E. 8.3</w:t>
      </w:r>
    </w:p>
    <w:p>
      <w:r>
        <w:t>Selon le rapport du 5 juillet 2023, l’appelant souffre de schizophrénie paranoïde, épisodique rémittente (F20.03) et des troubles mentaux et du comportement liés à l’utilisation de substance psychoactives multiples, syndrome de dépendance (F19.21). Il peut présenter des symptômes psychotiques tels que la désorganisation de la pensée, des bizarreries du comportement, une errance, des hallucinations et des idées délirantes de persécutions qui peuvent engendrer une interprétativité susceptible d’altérer sa compréhension des intentions d’autrui. Ses consommations engendrent une désinhibition, une forte impulsivité et la nécessité impérieuse de s’approvisionner pour éviter les symptômes de manque. S’agissant de la responsabilité pénale de l’appelant, les expertes ont relevé qu’au niveau cognitif les atteintes n’étaient pas de nature à le priver de sa faculté d’apprécier le caractère illicite de ses actes ou de se déterminer d’après cette appréciation. Elles ont par contre retenu une altération moyenne à importante de ses capacités volitives en raison de son mauvais ancrage dans la réalité, de son vécu persécutoire et de l’effet désinhibant de ses consommations toxiques. La culpabilité de l’appelant est lourde. A charge, il faut souligner le nombre important de cas retenus, l’utilisation d’une arme dangereuse à deux reprises à l’encontre de tiers, le montant parfois important des valeurs soustraites (jusqu’à 2'000 fr.) et l’absence de toute véritable prise de conscience. A décharge, il y a lieu de retenir la précarité de sa situation financière et sociale. Sa responsabilité est par ailleurs diminuée de manière moyenne à importante. La culpabilité de l’appelant doit ainsi être qualifiée de légère à moyenne. Il n’y a pas lieu de prendre en compte une diminution supplémentaire de la culpabilité en raison de la dépendance de l’appelant à des produits stupéfiants, cet élément ayant déjà été pris en considération par les expertes. On se trouve en présence d’un concours rétrospectif partiel. En revanche, contrairement à l’appréciation des premiers juges, le vol par métier doit être considéré comme un tout s’insérant dans le groupe d’infractions dans lequel prend place le dernier de ces actes. Dans le premier groupe d’infractions, soit celles commises avant la condamnation de l’appelant par ordonnance pénale du 10 août 2022, figurent l’infraction à la LStup relative au cas 1 et la violation de domicile relative au cas 5. Dans cette ordonnance, le Ministère public a notamment condamné l’appelant à une peine privative de liberté de 90 jours pour vol et infraction à la LEI (loi fédérale sur les étrangers et l'intégration du 16 décembre 2005 ; RS 142.20). Si tous ces faits avaient été jugés simultanément, c’est une peine privative de liberté de 120 jours qui aurait été prononcée, soit 80 jours pour le vol, qui constitue la peine de base, augmentés par l’effet du concours de 20 jours pour l’infraction à la LStup, de 10 jours pour la violation de domicile et de</w:t>
      </w:r>
    </w:p>
    <w:p>
      <w:r>
        <w:rPr>
          <w:b/>
        </w:rPr>
        <w:t>E. 10</w:t>
      </w:r>
    </w:p>
    <w:p>
      <w:r>
        <w:t>jours pour l’infraction à la LEI. C’est donc une peine complémentaire de 30 jours de privation de liberté qui doit être prononcée. Le dernier vol par métier date du 20 septembre 2022 et est par conséquent postérieur à la précédente condamnation de l’appelant du 10 août 2022. Postérieurement à cette condamnation, l’appelant s’est également rendu coupable de lésions corporelles simples qualifiées, d’utilisation frauduleuse d’un ordinateur, de tentative d’utilisation frauduleuse d’un ordinateur et d’infraction à la LEI. L’infraction la plus grave est le vol par métier et doit être sanctionnée d’une peine privative de liberté de 8 mois. La peine doit être augmentée de 8 mois pour les lésions corporelles simples qualifiées et de 4 mois pour le solde des infractions, ce qui représente une peine privative de liberté de 20 mois. S’agissant de la contravention à la LStup ainsi que de l’utilisation frauduleuse d’un ordinateur d’importance mineure, celles-ci doivent être sanctionnées par une amende de 800 fr. convertible en 8 jours de peine privative de liberté en cas de non-paiement fautif. Ces infractions sont postérieures à la condamnation du 19 août 2022, cette peine n’est donc pas complémentaire à l’amende prononcée dans cette décision. Le sursis octroyé à l’appelant par le Ministère public le 19 août 2022, n’a pas eu le moindre effet sur l’intéressé. En effet, celui-ci n’a jamais interrompu sa consommation de stupéfiants et a commis une nouvelle série de vols dès le 6 septembre 2022. En outre, les expertes ont relevé que l’appelant présentait un risque de récidive supérieur à l’auteur moyen d’une catégorie d’infractions comparables, et ont qualifié le risque d’élevé. Les facteurs engendrant ce risque étaient la maladie psychotique grave de l’appelant, associée à une consommation active de produits illicites, sa situation psychosociale très précaire et son absence de suivi psychiatrique et de traitement médicamenteux. Elles ont précisé que la schizophrénie paranoïde de l’appelant était actuellement compensée après plusieurs mois de traitements médicamenteux dans le cadre sécurisant de la prison et sans consommation de substances psychoactives. Elles ont toutefois relevé que si le suivi médical a pu montrer des effets très positifs, il pourrait être rendu difficile par l’anosognosie de l’appelant quant à sa maladie et sa volonté d’échapper au traitement. Elles ont encore rappelé que l’appelant a exprimé de manière claire dans le cadre expertal ne pas avoir besoin de suivi ou de traitement, ce qui allait rendre son adhésion au suivi compliqué. Au vu des éléments qui précèdent, le pronostic de l’appelant est défavorable. Il y a donc lieu de révoquer le sursis accordé à l’appelant le 19 août 2022 et d’ordonner l’exécution de la peine privative de liberté de 90 jours jusqu’ici suspendue. En outre, l’exécution de cette peine serait insuffisante pour améliorer le pronostic de l’appelant et n’aurait pas l’effet de choc nécessaire compte tenu de sa récidive immédiate après le prononcé de la première peine avec sursis et des risques élevés de récidive. La peine prononcée à l’encontre de l’appelant sera donc ferme. Une peine privative de liberté d’ensemble de 24 mois fermes doit ainsi être prononcée à l’encontre de l’appelant (20 mois + 30 jours + 90 jours). La détention avant jugement exécutée depuis la notification du jugement de première instance sera déduite à la peine privative de liberté prononcée (art. 51 CP). L’appelant sera maintenu en exécution anticipée de peine afin de garantir l’exécution du solde de la peine et la mesure d’expulsion (cf. consid. 10.3 ci-dessous). A cet égard, le dispositif notifié aux parties le 16 avril 2024 mentionnait par erreur un maintien en « détention pour des motifs de sûreté » de l’appelant. Cette erreur sera rectifiée d’office (art. 83 al. 1 CPP). S’agissant de la mesure instaurée par le jugement entrepris, celle-ci n’est pas contestée par l’appelant et se justifie pour les motifs énoncés en pp. 39 et 40 dudit jugement (art. 82 al. 4 CPP). Elle doit être confirmée.</w:t>
      </w:r>
    </w:p>
    <w:p>
      <w:r>
        <w:rPr>
          <w:b/>
        </w:rPr>
        <w:t>E. 10.1</w:t>
      </w:r>
    </w:p>
    <w:p>
      <w:r>
        <w:t>L’appelant conteste son expulsion. Il s’appuie sur sa situation économique précaire, sur l’absence de possibilité de prise en charge adéquate de ses troubles psychiatriques en Erythrée et sur le fait que son statut de déserteur aurait pour effet qu’il se verrait arrêté, jeté en prison et s’exposerait à des punitions arbitraires s’il devait être renvoyée dans ce pays.</w:t>
      </w:r>
    </w:p>
    <w:p>
      <w:r>
        <w:rPr>
          <w:b/>
        </w:rPr>
        <w:t>E. 10.2.1</w:t>
      </w:r>
    </w:p>
    <w:p>
      <w:r>
        <w:t>En application de l’art. 66a al. 1 let. c aCP, le juge expulse de Suisse l’étranger qui est condamné pour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r>
        <w:rPr>
          <w:b/>
        </w:rPr>
        <w:t>E. 10.2.2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6B_1015/2021 du 2 novembre 2022 consid. 1.2.1 ; TF 6B_38/2021 du 14 février 2022 consid. 5.5.3). Les éventuels obstacles à l'expulsion, au sens de l'art. 66d al. 1 CP, doivent déjà être pris en compte au moment du prononcé de l'expulsion, pour autant que ces circonstances soient stables et puissent être déterminées de manière définitive (TF 6B_536/2023 du 2 octobre 2023 consid. 3.2.3 ; TF6B_884/2022 du 20 décembre 2022 consid. 3.2.1). 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il y a lieu de désigner ou d'étayer des circonstances individuelles spécifiques qui constituent une menace pour lui, c'est-à-dire un danger "concret" au sens de l'art. 83 al. 4 LEI, par exemple en cas de guerre, de guerre civile, de violence généralisée ou de nécessité médicale (TF 6B_536/2023 précité consid. 3.2.3 et les références citées). Dans un arrêt du 20 juin 2017, la CourEDH a relevé que la situation en matière de droits de l'homme en Erythrée était alors très préoccupante. Toutefois, aucun des rapports soumis, en particulier de l'ONU, du bureau européen d'appui en matière d'asile ( European asylum support office ) et d'autorités nationales (telles que le secrétariat d'État aux migrations) ne concluait que la situation générale dans ce pays était telle qu'un ressortissant érythréen risquerait d'y subir des mauvais traitements s'il y était simplement renvoyé. En soi, la situation de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l'art. 3 CEDH (arrêt M.O. contre Suisse du 20 juin 2017 [requête n° 41282/16], §§ 70 ss ; TF 6B_536/2023 précité consid. 3.2.3 ; TF 6B_1038/2021 du 9 mai 2022 consid. 8.2).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(arrêt du Tribunal administratif fédéral E-345/2022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l'art. 4 ch. 2 CEDH (interdiction du travail forcé ou obligatoire) ne saurait ainsi être admise; il en va de même du risque d'être soumis à un traitement inhumain ou dégradant au sens de l'art. 3 CEDH ou à un traitement prohibé par l'art. 3 de la convention du 10 décembre 1984 contre la torture (même arrêt consid. 10.5). Le risque d'être incorporé dans le service national ne constitue dès lors pas non plus, en soi, un obstacle au renvoi au sens de l'art. 83 al. 4 LEI (même arrêt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Tribunal administratif fédéral E-2419/2019 du 20 août 2021 consid. 5.2 ; TF 6B_536/2023 précité consid. 3.2.3).</w:t>
      </w:r>
    </w:p>
    <w:p>
      <w:r>
        <w:rPr>
          <w:b/>
        </w:rPr>
        <w:t>E. 10.3</w:t>
      </w:r>
    </w:p>
    <w:p>
      <w:r>
        <w:t>En l’espèce, le prévenu est arrivé en Suisse alors qu’il était âgé de 18 ans, soit adulte. Il a vécu la majorité de sa vie en Erythrée. Il a été scolarisé dans ce pays et l’essentiel de sa famille, dont ses parents et ses six frères et sœurs, y vit toujours. Il ne dispose pas du statut de réfugié en Suisse, il n’y est pas intégré. Ainsi, il s’est exprimé, lors des débats, dans sa langue natale et a eu recours à un interprète. Il n’a qu’un frère en Suisse. Les actes commis sont graves et le risque de récidive est élevé. Bien qu’il soit affecté par des troubles psychiatriques graves et se soit soustrait au service militaire obligatoire en Erythrée, l’appelant n’a pas démontré qu’une expulsion vers ce pays le mettrait gravement en danger de façon individuelle. On rappellera s’agissant du service militaire que la jurisprudence admet que le simple fait de s’y être soustrait n’est pas suffisant pour motiver un refus d’expulser un prévenu dans la mesure où celui-ci peut régulariser sa situation vis-à-vis du gouvernement érythréen en s’acquittant d’une taxe s’élevant à 2% de ses revenus, en rédigeant une lettre attestant de ses regrets d’avoir offensé le gouvernement et en accomplissant le service national. L’intérêt public à expulser l’appelant prime ainsi son intérêt privé à demeurer en Suisse. Il convient de confirmer l’expulsion de l’appelant du territoire suisse pour une durée de sept ans ainsi que l’inscription au système d’information Schengen.</w:t>
      </w:r>
    </w:p>
    <w:p>
      <w:r>
        <w:rPr>
          <w:b/>
        </w:rPr>
        <w:t>E. 11</w:t>
      </w:r>
    </w:p>
    <w:p>
      <w:r>
        <w:t>En définitive, l’appel doit être très partiellement admis et le jugement entrepris réformé dans le sens des considérants. Me Frank Tièche, défenseur d’office de C.________, a produit une liste des opérations faisant état de 23h20 d’activité d’avocat breveté et de 8h d’activité d’avocat-stagiaire. L’activité alléguée d’avocat de 18 heures pour le poste « étude du dossier, recherches juridiques diverses, rédaction d’un mémoire d’appel motivé et préparation des annexes » est excessive. Elle sera réduite à 8 heures, ce qui est amplement suffisant pour écriture de 16 pages dans un dossier déjà connu par le défenseur d’office, qui représentait l’appelant durant la procédure de première instance. 50 minutes d’activité d’avocat-stagiaire seront ajoutées afin de tenir compte de la durée effective des débats d’appel. Ainsi, pour la période s’étendant jusqu’au 31 décembre 2023, les honoraires s’élèvent à 1’845 fr., correspondant à 10h15 d’activité d’avocat breveté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36 fr. 90, et la TVA au taux de 7,7 % sur le tout, par 144 fr. 90. Pour la période dès le 1 er janvier 2024, les honoraires s’élèvent à 1’526 fr. 65, correspondant à 3h05 d’activité d’avocat breveté au tarif horaire de 180 fr. et 8h50 d’activité d’avocat-stagiaire au tarif horaire de 110 fr. (art. 2 al. 1 let. b RAJ), s’y ajoutent les débours forfaitaires de 2 %, par 30 fr. 55, une vacation forfaitaire à 120 fr. et une à 80 fr. (art. 3bis al. 3 RAJ), et la TVA au taux de 8,1 % sur le tout, par 142 fr. 35. L’indemnité s’élève ainsi à 3'926 fr. 30 au total. Le dispositif notifié aux parties le 16 avril 2024 contenait une erreur dans le montant de l’indemnité d’office allouée à Me Tièche. Cette erreur sera rectifiée d’office (art. 83 al. 1 CPP). Les frais de procédure d’appel s’élèvent à 8'066 fr. 30. Ils sont constitués de l’émolument d’audience, par 400 fr. (art. 21 al. 2 TFIP), de l’émolument de jugement, par 3’740 fr. (art. 21 al. 1 TFIP) et de l’indemnité d’office arrêtée ci-dessus. L’appelant n’obtenant gain de cause que de façon très marginale, il convient de lui faire supporter l’intégralité de ces frais (art. 428 al. 1 CPP). L’appelant sera tenu de rembourser à l’Etat de Vaud le montant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