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249 vom 8. Februar 2024</w:t>
      </w:r>
    </w:p>
    <w:p>
      <w:r>
        <w:t>VD Tribunal cantonal, 2024-02-08, FR</w:t>
      </w:r>
    </w:p>
    <w:p>
      <w:r>
        <w:rPr>
          <w:b/>
        </w:rPr>
        <w:t xml:space="preserve">Quelle: </w:t>
      </w:r>
      <w:r>
        <w:t>https://mcp.opencaselaw.ch/entscheid/vd_findinfo_Jug___2024___249</w:t>
      </w:r>
    </w:p>
    <w:p>
      <w:r>
        <w:t>FR: VD_FINDINFO Jug / 2024 / 249 du 8 février 2024</w:t>
      </w:r>
    </w:p>
    <w:p>
      <w:r>
        <w:t>IT: VD_FINDINFO Jug / 2024 / 249 del 8 febbraio 2024</w:t>
      </w:r>
    </w:p>
    <w:p>
      <w:pPr>
        <w:pStyle w:val="Heading2"/>
      </w:pPr>
      <w:r>
        <w:t>Regeste</w:t>
      </w:r>
    </w:p>
    <w:p>
      <w:r>
        <w:t>REJET DE LA DEMANDE, DÉTOURNEMENT D'OBJETS SOUS MAIN DE JUSTICE | 169 CP</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2.1</w:t>
      </w:r>
    </w:p>
    <w:p>
      <w:r>
        <w:t>; ATF 99 IV 146 et les réf. citées). Le terme de valeur patrimoniale englobe aussi bien les choses que les créances ou autres droits, à la condition qu’ils aient une valeur économique (cf. ATF 96 IV 111 consid. 1). Dans tous les cas de mise sous main de justice énumérés dans la disposition, il faut un acte officiel qui établit la mainmise sur la valeur patrimoniale. La mise sous main de justice doit être valable conformément aux règles de la LP (loi fédérale du 11 avril 1889 sur la poursuite pour dettes et la faillite ; RS 281.1). Si l’acte officiel est nul, une infraction à l’art. 169 CP est exclue (ATF 105 IV 322 consid. 2a ; TF 6B_556/2022 du 20 décembre 2022 consid. 1.2 et les réf. citées). L’infraction est intentionnelle, mais le dol éventuel suffit. Il faut donc que l’auteur sache que la valeur patrimoniale a été mise sous main de justice ou qu’il accepte cette éventualité. Il faut encore que l’auteur ait la volonté ou accepte de nuire aux créanciers (ATF 121 IV 357 consid. 2c ; TF 6B_556/2022 précité et les réf. citées).</w:t>
      </w:r>
    </w:p>
    <w:p>
      <w:r>
        <w:rPr>
          <w:b/>
        </w:rPr>
        <w:t>E. 3.1</w:t>
      </w:r>
    </w:p>
    <w:p>
      <w:r>
        <w:t>Dans sa déclaration d’appel, D.________ a requis l’audition de [...], conseillère auprès de l’Office Régional de Placement Riviera (ci-après : ORP) en qualité de témoin. Il soutient avoir dit à cette conseillère qu’il avait retrouvé un travail, ce qu’elle serait, selon lui, en mesure de confirmer.</w:t>
      </w:r>
    </w:p>
    <w:p>
      <w:r>
        <w:rPr>
          <w:b/>
        </w:rPr>
        <w:t>E. 3.2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3.3</w:t>
      </w:r>
    </w:p>
    <w:p>
      <w:r>
        <w:t>En l’espèce, dans la mesure où les faits remontent à 2022, il est douteux qu’une conseillère ORP puisse se souvenir que l’appelant lui ait dit qu’il avait retrouvé un travail. De plus, le dossier de l’ORP ne contient aucun contrat de travail supposément remis par l’appelant à cette conseillère (cf. P. 22). Une autre pièce indique que le dossier avait d’ailleurs été clôturé non pas en raison d’une prise d’emploi portée à la connaissance de l’ORP – comme le soutient l’appelant –, mais parce que celui-ci ne s’est pas présenté à deux rendez-vous (P. 27/1 et jugement p. 8). Sur la base des déterminations de l’ORP, l’audition de cette conseillère, qui ne se souviendra au demeurant de rien, n’est pas nécessaire pour le traitement de l’appel, de sorte que cette réquisition doit être rejetée.</w:t>
      </w:r>
    </w:p>
    <w:p>
      <w:r>
        <w:rPr>
          <w:b/>
        </w:rPr>
        <w:t>E. 4.1</w:t>
      </w:r>
    </w:p>
    <w:p>
      <w:r>
        <w:t>L’appelant invoque une violation de l’art. 169 CP. Il soutient tout d’abord avoir annoncé sa prise d’emploi auprès de l’ORP et donc avoir agi de manière conforme à ce qui pouvait être attendu de lui, en comptant manifestement sur le fait que les autorités – soit l’ORP et l’Office – communiquent entre eux de cette prise d’emploi. L’appelant soutient avoir été d’autant plus conforté dans cette position puisqu’il aurait, jusqu’alors, toujours procédé de cette manière. L’appelant remet ensuite en doute la validité de la saisie du 12 août 2022, celle-ci ayant été prononcée en mains de [...] SA et non auprès de [...] Sàrl, et relève que le montant distrait de 893 fr. 55 n’aurait pas été établi. Enfin, l’appelant soutient que l’élément subjectif de l’infraction ne serait pas réalisé, dans la mesure où il n’aurait jamais cherché à détourner des valeurs patrimoniales mises sous main de justice, celui-ci s’étant rendu dans les locaux de l’Office pour renseigner l’autorité sur sa situation financière et ayant produit les pièces pertinentes à l’établissement de celle-ci. Il rappelle que c’est son comportement qui a amené l’Office à entreprendre les démarches pertinentes dans son cas, annulant la saisie de salaire qui avait été prononcée et ordonnant une nouvelle en mains de son nouvel employeur le 25 août 2022, prenant ainsi en compte sa nouvelle situation financière. Il aurait selon lui été également loisible à l’Office de rendre une décision avec effet rétroactif au jour de la prise d’emploi effective.</w:t>
      </w:r>
    </w:p>
    <w:p>
      <w:r>
        <w:rPr>
          <w:b/>
        </w:rPr>
        <w:t>E. 4.2</w:t>
      </w:r>
    </w:p>
    <w:p>
      <w:r>
        <w:t>Selon l’art. 169 CP, quiconque,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 Cette disposition ne tend pas seulement à protéger les intérêts des créanciers, mais également à assurer l’autorité de l’État (ATF 129 IV 68 consid.</w:t>
      </w:r>
    </w:p>
    <w:p>
      <w:r>
        <w:rPr>
          <w:b/>
        </w:rPr>
        <w:t>E. 4.3</w:t>
      </w:r>
    </w:p>
    <w:p>
      <w:r>
        <w:t>En l’espèce, il est tout d’abord relevé que l’appelant admet avoir tu l’annonce de sa prise d’emploi dès le 20 mai 2022 pour [...] Sàrl à l’Office, mais soutient avoir averti l’ORP de ce nouvel élément et pensait que cet office, respectivement la Caisse de chômage, se chargerait d’en aviser l’Office. Toutefois, avec le premier juge, il faut admettre que l’appelant n’a pas averti l’ORP qui le suivait à l’époque de sa nouvelle prise d’emploi. En effet, aucune copie de son contrat de travail prétendument remise à l’ORP n’a été produite au dossier, l’appelant se contentant d’expliquer à l’audience d’appel qu’il l’aurait envoyée par courriel, tout en envisageant que le contrait ait pu être « perdu ». A cela s’ajoute que l’ORP a même expliqué que le dossier du prévenu avait été clôturé, non pas comme il le soutient en raison d’une prise d’emploi dûment portée à sa connaissance, mais parce qu’il avait manqué deux rendez-vous, et ce conformément à la pratique en vigueur (P. 27/1). Au vu de ces éléments, il importe peu que, par le passé, la Caisse de chômage ait pu informer l’Office des changements (prise et perte d’emplois) dans la situation professionnelle de l’appelant. C’est donc en vain que l’appelant soutient qu’il pensait que l’ORP allait informer l’Office, raison pour laquelle il ne l’a pas fait lui-même. L’appelant admet qu’il se savait sous le coup d’une saisie de salaire et n’avoir rien versé à l’Office malgré le salaire réalisé. Le procès-verbal de saisie du 20 septembre 2021 (P. 4/2) est d’ailleurs extrêmement clair à ce titre. Il ne pouvait ainsi échapper à l’appelant que tout revenu dépassant 3’300 fr. par mois devait être saisi, étant relevé qu’il n’a pas déposé une plainte au sens de l’art. 17 LP à l’encontre de ce procès-verbal afin de le contester. L’appelant remet en cause sa validité en prétendant que, dans la mesure où il avait obtenu un nouvel emploi, la saisie ne pouvait de toute manière plus s’exécuter dès lors que cette situation nouvelle nécessitait que l’Office procède à une saisie subséquente en mains du nouvel employeur de l’appelant. Toutefois, en cas de saisie de salaire, l’avis de saisie à l’employeur ne libère pas l’employé de verser la part saisie des revenus (Dupuis et al., Petit Commentaire du Code pénal, 2e éd., Bâle 2017, n. 7 ad art. 169 CP). En outre, le fait que, le 25 août 2022, la saisie de salaire auprès de [...] SA ait été annulée pour être remplacée par une saisie de salaire en mains de [...] Sàrl ne saurait avoir une incidence sur la validité de la première, dès lors qu’elle a été annulée non pas parce que celle-ci était incorrecte, mais uniquement pour modifier le nom du nouvel employeur. Quoi qu’il en soit, ces modifications ont eu lieu après la survenance des faits reprochés à l’encontre de l’appelant, de sorte que la validité de la saisie ne saurait être remise en cause, celle-ci ayant été pleinement valable lors des faits. Enfin, il importe peu que l’Office ait pu être au courant le 26 juillet 2022 déjà – soit lorsqu’il a convoqué D.________ à une séance afin de réviser sa situation – du changement d’emploi de l’appelant, dès lors que celui-ci aurait dû, dès le 20 mai 2022, informer spontanément l’Office. C’est ensuite à tort que le prévenu soutient que le montant distrait de 893 fr. 55 n’aurait pas été établi. A cet égard, il ressort de la décision de saisie de salaire (P. 13/31) établie le 25 août 2022 par l’Office – à l’encontre de laquelle aucun recours n’a été déposé – que la retenue de salaire décidée était de 500 fr. par mois en mains de [...] Sàrl, dès lors que les revenus retenus étaient de 3’940 fr. 55. Il ressort d’ailleurs clairement du procès-verbal de distraction de biens saisis établi le 5 septembre 2022 par l’Office (P. 4/4) ce qui suit : « [l] a débitrice n’a pas annoncé son changement de situation est a distrait fr. 200.00 sur juin 2022, fr. 500.00 sur juillet 2022 et fr. 193.55 soit 12 jours sur août 2022 », soit un montant total de 893 fr. 55. De ce fait, le prévenu a bien disposé arbitrairement des sommes dépassant son minimum vital de 3’300 fr., puisqu’il n’a rien versé à l’Office pour la période comprise entre le 19 juin et le 12 août 2022, alors même qu’il réalisait des revenus de 3’940 fr. 55 par mois environ. Enfin, quant à l’élément subjectif, on ne saurait retenir une quelconque négligence de la part de l’appelant, celui-ci ayant été au courant de ses obligations. En effet, il connaissait parfaitement son devoir d’informer l’Office en cas de changement de situation. Il a régulièrement signé des procès-verbaux d’opérations de saisie lui rappelant ses différentes obligations et les dispositions pénales applicables en cas de dissimulation de biens et s’il disposait arbitrairement de biens saisis (voir par exemple la P. 13/30 ou la P. 13/40), soit les pièces annexées à l’envoi de l’Office des poursuites du 13 juin 2023 (P. 12). Au vu de ce qui précède, l’infraction de l’art. 169 CP est donc bien réalisée et les griefs invoqués par l’appelant doivent être rejetés.</w:t>
      </w:r>
    </w:p>
    <w:p>
      <w:r>
        <w:rPr>
          <w:b/>
        </w:rPr>
        <w:t>E. 5.1</w:t>
      </w:r>
    </w:p>
    <w:p>
      <w:r>
        <w:t>L’appelant ne conteste pas à proprement parler la peine qui lui a été infligée, celui-ci ayant conclu à son acquittement. Cette question doit toutefois être examinée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w:t>
      </w:r>
    </w:p>
    <w:p>
      <w:r>
        <w:rPr>
          <w:b/>
        </w:rPr>
        <w:t>E. 5.2.2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(ATF 134 IV 1 précité consid. 4.2.2 ; TF 6B_492/2008 du 19 mai 2009 consid. 3.1.2).</w:t>
      </w:r>
    </w:p>
    <w:p>
      <w:r>
        <w:rPr>
          <w:b/>
        </w:rPr>
        <w:t>E. 5.3</w:t>
      </w:r>
    </w:p>
    <w:p>
      <w:r>
        <w:t>Compte tenu des faits retenus contre l’appelant, le tribunal a prononcé à son encontre une peine pécuniaire de 30 jours-amende. En l’espèce, la Cour constate que la peine a été fixée conformément à la culpabilité de l’appelant qui doit être qualifiée de légère. Il peut être renvoyé à cet égard à la motivation du jugement attaqué (cf. jugement, p. 10 ; art. 82 al. 4 CPP), qui est claire est convaincante. En effet, il est rappelé que l’appelant a agi pour soustraire un montant modeste à la mainmise de ses créanciers. Compte tenu de sa situation financière, le montant du jour-amende, à 30 fr., peut être confirmé. L’antécédent relativement ancien du prévenu ne fait pas obstacle à l’octroi du sursis, notamment puisqu’il concerne une infraction totalement différente. La durée du délai d’épreuve, de 3 ans, sera également confirmée.</w:t>
      </w:r>
    </w:p>
    <w:p>
      <w:r>
        <w:rPr>
          <w:b/>
        </w:rPr>
        <w:t>E. 6</w:t>
      </w:r>
    </w:p>
    <w:p>
      <w:r>
        <w:t>Au vu de ce qui précède, l’appel de D.________ doit être rejeté et le jugement entrepris confirmé. Vu l’issue de la cause, les frais de la procédure d’appel, par 1’500 fr. (art. 21 al. 1 TFIP), constitués en l’espèce de l’émolument d’audience et de jugement,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