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245 vom 10. Januar 2024</w:t>
      </w:r>
    </w:p>
    <w:p>
      <w:r>
        <w:t>VD Tribunal cantonal, 2024-01-10, FR</w:t>
      </w:r>
    </w:p>
    <w:p>
      <w:r>
        <w:rPr>
          <w:b/>
        </w:rPr>
        <w:t xml:space="preserve">Quelle: </w:t>
      </w:r>
      <w:r>
        <w:t>https://mcp.opencaselaw.ch/entscheid/vd_findinfo_Jug___2024___245</w:t>
      </w:r>
    </w:p>
    <w:p>
      <w:r>
        <w:t>FR: VD_FINDINFO Jug / 2024 / 245 du 10 janvier 2024</w:t>
      </w:r>
    </w:p>
    <w:p>
      <w:r>
        <w:t>IT: VD_FINDINFO Jug / 2024 / 245 del 10 gennaio 2024</w:t>
      </w:r>
    </w:p>
    <w:p>
      <w:pPr>
        <w:pStyle w:val="Heading2"/>
      </w:pPr>
      <w:r>
        <w:t>Regeste</w:t>
      </w:r>
    </w:p>
    <w:p>
      <w:r>
        <w:t>ESCROQUERIE, SURSIS À L'EXÉCUTION DE LA PEINE | 146 al. 1 CP, 42 al. 1 CP, 66a al. 1 let. c CP</w:t>
      </w:r>
    </w:p>
    <w:p>
      <w:pPr>
        <w:pStyle w:val="Heading2"/>
      </w:pPr>
      <w:r>
        <w:t>Erwägungen</w:t>
      </w:r>
    </w:p>
    <w:p>
      <w:r>
        <w:rPr>
          <w:b/>
        </w:rPr>
        <w:t>E. 1</w:t>
      </w:r>
    </w:p>
    <w:p>
      <w:r>
        <w:t>Interjeté dans les formes et délais légaux (art. 385 et 399 CPP), par une partie ayant qualité pour recourir (art. 382 al. 1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w:t>
      </w:r>
    </w:p>
    <w:p>
      <w:r>
        <w:rPr>
          <w:b/>
        </w:rPr>
        <w:t>E. 3.1</w:t>
      </w:r>
    </w:p>
    <w:p>
      <w:r>
        <w:t>L’appelant conteste la circonstance aggravante du métier de l’escroquerie et reconnaît devoir être condamné pour le chef d’infraction d’escroquerie à l’assurance sociale. Il fait valoir qu’il n’aurait pas consacré la majorité de son temps à la commission de son crime, dès lors que la fréquence des actes délictuels était à raison d’une fois par mois, soit lorsqu’il remplissait le formulaire RI et l’envoyait. Il soutient en outre que les revenus obtenus de l’aide sociale n’auraient pas permis de financer de manière non négligeable son train de vie, celui-ci étant extrêmement modeste selon lui. Il relève enfin que le subterfuge utilisé n’aurait pas été difficilement décelable par les assurances sociales.</w:t>
      </w:r>
    </w:p>
    <w:p>
      <w:r>
        <w:rPr>
          <w:b/>
        </w:rPr>
        <w:t>E. 3.2.1</w:t>
      </w:r>
    </w:p>
    <w:p>
      <w:r>
        <w:t>Selon l’art. 146 al. 1 CP (Code pénal suisse du 21 décembre 1937 ; RS 311.0), se rend coupable d’escroquerie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L’escroquerie consiste à tromper la dupe par des affirmations fallacieuses, par la dissimulation de faits vrais ou par un comportement qui la conforte dans son erreur. Par tromperie, il faut entendre tout comportement destiné à faire naître chez autrui une représentation erronée des faits (ATF 147 IV 73 consid. 3.1 ; ATF 140 IV 11 consid. 2.3.2). Pour qu’il y ait escroquerie, une simple tromperie ne suffit cependant pas ; il faut encore qu’elle soit astucieuse. Il y a tromperie astucieuse, au sens de l’art. 146 al. 1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précité consid. 3.2 ; ATF 142 IV 153 consid. 2.2.2 ; ATF 135 IV 76 consid. 5.2).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précité consid. 3.2 ; ATF 143 IV 302 consid. 1.4.1 ; ATF 142 IV 153 précité consid. 2.2.2). Selon le Tribunal fédéral, la définition générale de l’astuce est également applicable à l’escroquerie en matière d’assurances et d’aide sociales. L’autorité agit de manière légère lorsqu’elle n’examine pas les pièces produites ou néglige de demander à celui qui requiert des prestations les documents nécessaires afin d’établir ses revenus et sa fortune, comme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En l’absence d’indice lui permettant de suspecter une modification du droit du bénéficiaire à bénéficier des prestations servies, l’autorité d’assistance n’a pas à procéder à des vérifications particulières (TF 6B_1221/2020 du 2 juin 2021 consid. 1.1.2 et les réf. citées). L’infraction d’escroquerie se commet en principe par une action. Tel est le cas lorsqu’elle est perpétrée par actes concluants (ATF 140 IV 11 précité consid. 2.3.2, JdT 2014 IV 217). L’assuré qui ne respecte pas l’obligation de communiquer toute modification importante des circonstances déterminantes pour l’octroi d’une prestation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(ATF 140 IV 206 consid. 6.3.1.3 et les réf. citées). Le bénéficiaire de prestations d’assurance exclusivement accordées aux indigents, qui se borne à donner suite à la requête de l’autorité compétente tendant, en vue de réexaminer sa situation économique, à la production d’un extrait de compte déterminé, alors qu’il possède une fortune non négligeable sur un autre compte jamais déclaré, se rend coupable de tromperie « par acte concluant » (ATF 127 IV 163 consid. 2). 3.3.2 L’escroquerie par métier est passible d’une peine privative de liberté de six mois à 10 ans. L’auteur d’une infraction patrimoniale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 TF 6B_861/2009 du 18 février 2010 et les réf. citées). La qualification de métier n’est admise que si l’auteur a déjà agi à plusieurs reprises (ATF 116 IV 319 consid. 3b ; ATF 119 IV 129 consid. 3a ; TF 6S.78/2001 du 6 décembre 2001 consid. 12b). Pour admettre le métier, il suffit de constater que l’auteur manifeste un certain professionnalisme (Papaux, in : Macaluso/Moreillon/Queloz [éd.], Commentaire romand, Code pénal Il, Art. 111-392 CP, Bâle 2017, n. 65 ad art. 139 CP). L’activité délictueuse peut être accessoire à une activité professionnelle licite (ATF 123 IV 113 consid. 2.c ; CAPE 8 mars 2021/48 consid. 5.3).</w:t>
      </w:r>
    </w:p>
    <w:p>
      <w:r>
        <w:rPr>
          <w:b/>
        </w:rPr>
        <w:t>E. 3.3</w:t>
      </w:r>
    </w:p>
    <w:p>
      <w:r>
        <w:t>En l’occurrence, la commission d’une escroquerie à l’aide sociale ne nécessite pas de l’auteur qu’il consacre du temps à l’échafaudage de son mensonge, puisque l’astuce tient surtout dans le fait qu’il est difficile pour les assurances sociales de vérifier les allégations fausses de l’appelant. D’ailleurs, l’appelant ne conteste pas s’être rendu coupable d’escroquerie, soit d’avoir adopté un comportement astucieux, à juste titre. L’appelant soutient à tort que les revenus obtenus illicitement n’auraient pas amélioré significativement son train de vie. En effet, il est rappelé qu’il a perçu 169’768 fr. 75 sur une période de 114 mois, ce qui représente un montant de 1’489 fr. 20 par mois. L’appelant lui-même a admis que sa situation financière était précaire (cf. mémoire d’appel, p. 6) et on constate que celle-ci est obérée. Le montant perçu était donc conséquent par rapport à sa situation financière. Par ailleurs, il ressort des actes de défaut de biens qu’avec cet argent il n’a pas payé ses impôts et ses primes d’assurance-maladie. Il a d’ailleurs déclaré avoir envoyé de l’argent régulièrement à sa famille restée en Macédoine du Nord. Ces éléments démontrent donc qu’il a utilisé l’argent indument perçu à des fins purement cupides. A cela s’ajoute qu’il a procédé de la sorte durant neuf ans et demi et était ainsi installé dans la délinquance. En effet, chaque mois, durant 114 mois, il a indiqué systématiquement, pour les périodes considérées, sur les déclarations de revenus mensuels, qu’il ne réalisait pas de revenu alors qu’il avait perçu pour les mêmes périodes des salaires de plusieurs centaines de milliers de francs. Son activité délictueuse n’a en outre été découverte qu’après des investigations détaillées. Au vu de ces éléments, il y a donc bien une répétition de son comportement délictueux et l’appelant a agi à l’instar d’un professionnel. Partant, la condamnation de l’appelant pour escroquerie par métier doit être confirmée.</w:t>
      </w:r>
    </w:p>
    <w:p>
      <w:r>
        <w:rPr>
          <w:b/>
        </w:rPr>
        <w:t>E. 4.1</w:t>
      </w:r>
    </w:p>
    <w:p>
      <w:r>
        <w:t>L’appelant requiert d’être libéré de l’infraction d’escroquerie par métier et condamné pour l’infraction d’escroquerie à l’assurance sociale à une peine privative de liberté de 12 mois, avec sursis complet.</w:t>
      </w:r>
    </w:p>
    <w:p>
      <w:r>
        <w:rPr>
          <w:b/>
        </w:rPr>
        <w:t>E. 4.2.1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 citées ; TF 6B_183/2021 du 27 octobre 2021 consid. 1.3).</w:t>
      </w:r>
    </w:p>
    <w:p>
      <w:r>
        <w:rPr>
          <w:b/>
        </w:rPr>
        <w:t>E. 4.2.2</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Le sursis est désormais la règle dont on ne peut s’écarter, qu’en présence d’un pronostic défavorable. Il prime en cas d’incertitude (ATF 134 IV 1 précité consid. 4.2.2 ; TF 6B_492/2008 du 19 mai 2009 consid. 3.1.2).</w:t>
      </w:r>
    </w:p>
    <w:p>
      <w:r>
        <w:rPr>
          <w:b/>
        </w:rPr>
        <w:t>E. 4.3</w:t>
      </w:r>
    </w:p>
    <w:p>
      <w:r>
        <w:t>Compte tenu de la gravité des faits retenus contre l’appelant, le tribunal a prononcé à son encontre une peine privative de liberté de 18 mois. En l’espèce, la Cour constate que la peine a été fixée conformément à la culpabilité de l’appelant qui doit être qualifiée de lourde. Il peut être renvoyé à cet égard à la motivation du jugement attaqué (cf. jugement, pp. 13 et 14 ; art. 82 al. 4 CPP), qui est claire est convaincante. En effet, il est rappelé que l’appelant a agi de façon systématique sur une longue période et que c’est uniquement l’enquête des services sociaux qui a permis de mettre fin à ses agissements. Le dommage est d’ailleurs considérable, puisque le préjudice est supérieur à 160’000 francs. Il est par ailleurs relevé qu’il a agi par cupidité, dès lors qu’il a reconnu que l’aide sociale n’était pas suffisante pour lui permettre de vivre en Suisse et d’entretenir sa famille à l’étranger, le prévenu n’ayant en outre pas réglé ses charges courantes malgré les montants obtenus illicitement. A décharge, il convient de retenir que le prévenu n’a pas réellement contesté les faits et les regrets exprimés à l’audience de première instance. Au vu de ces éléments et pour des motifs de prévention spéciale, c’est à raison que le tribunal a considéré que seule une peine privative de liberté de 18 mois entrait en ligne de compte pour réprimer l’infraction d’escroquerie par métier commise par l’appelant. Cette peine sera toutefois assortie du sursis, les conditions objectives et subjectives étant réalisées, compte tenu notamment de son casier judiciaire suisse vierge. Le délai d’épreuve fixé à 2 ans peut également être confirmé.</w:t>
      </w:r>
    </w:p>
    <w:p>
      <w:r>
        <w:rPr>
          <w:b/>
        </w:rPr>
        <w:t>E. 5.1</w:t>
      </w:r>
    </w:p>
    <w:p>
      <w:r>
        <w:t>L’appelant conteste enfin la mesure d’expulsion, en soutenant que le cas de rigueur serait applicable. A cet égard, il relève en substance avoir vécu la plus grande partie de sa vie en Suisse et être venu dans notre pays pour y travailler. Il soulève en outre avoir de bonnes connaissances linguistiques et un casier judiciaire suisse vierge. Il invoque également le fait que les opportunités de réintégration dans son pays d’origine seraient nulles, dans la mesure où il a quitté la Macédoine du Nord il y a 39 ans et qu’il à un certain âge, sans aucun contact dans ce pays. Enfin, il indique que la proportion des actes commis après l’entrée en vigueur des dispositions en matière d’expulsion des étrangers criminels est faible, de sorte qu’ordonner son expulsion reviendrait à violer le principe de proportionnalité.</w:t>
      </w:r>
    </w:p>
    <w:p>
      <w:r>
        <w:rPr>
          <w:b/>
        </w:rPr>
        <w:t>E. 5.2.1</w:t>
      </w:r>
    </w:p>
    <w:p>
      <w:r>
        <w:t>Selon l’art. 66a al. 1 let. c CP, le juge expulse de Suisse l’étranger qui est condamné pour escroquerie par métier. Ainsi, l’art. 66a CP prévoit l’expulsion « obligatoire » de l’étranger condamné pour l’une des infractions ou combinaison d’infractions listées à l’alinéa 1, quelle que soit la quotité de la peine prononcée à son encontre. L’expulsion est donc en principe indépendante de la gravité des faits retenus (ATF 144 IV 332 consid. 3.1.3 ; TF 6B_506/2017 du 14 février 2018 consid. 1.1). Le juge doit fixer la durée de l’expulsion dans la fourchette prévue de cinq à quinze ans, en tenant compte du principe de la proportionnalité (Message du Conseil fédéral concernant une modification du Code pénal et du Code pénal militaire du 26 juin 2013, FF 2013 pp. 5373 ss, spéc. p. 5416).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(TF 6B_861/2018 du 24 octobre 2018 consid. 2.6 ; TF 6B_1043/2017 du 14 août 2018 consid. 3.1.3 ; Grodecki/Jeanneret, L’expulsion judiciaire, in Dupont/Kuhn [édit.], Droit pénal – Evolutions en 2018, Neuchâtel 2017, p. 149).</w:t>
      </w:r>
    </w:p>
    <w:p>
      <w:r>
        <w:rPr>
          <w:b/>
        </w:rPr>
        <w:t>E. 5.2.2</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permet de garantir le principe de proportionnalité (art. 5 al. 2 Cst.). Elle doit être appliquée de manière restrictive (ATF 146 IV 105 consid. 3.4.2 ; ATF 144 IV 332 précité consid. 3.3.1 ; TF 6B_690/2019 du 4 décembre 2019 consid. 3.4.2). Selon la jurisprudence (ATF 144 IV 332 précité consid. 3.3.2 ; TF 6B_690/2019 précité consid. 3.4), il convient de s’inspirer des critères énoncés à l’art. 31 de l’OASA (Ordonnance relative à l’admission, au séjour et à l’exercice d’une activité lucrative du 24 octobre 2007 ; RS 142.201). L’art. 31 al. 1 OASA prévoit qu’une autorisation de séjour peut être octroyée dans les cas individuels d’extrême gravité. L’autorité doit tenir compte notamment de l’intégration du requérant selon les critères définis à l’art. 58a al. 1 de la LEI (loi fédérale sur les étrangers et l’intégration du 16 décembre 2005 ; RS 104.20),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réintégration sociale du condamné (ATF 147 IV 453 consid. 1.4.5 ; TF 6B_1485/2021 du 11 mai 2022 consid. 2.1.1 ; TF 6B_38/2021 du 14 février 2022 consid. 5.1.2). En règle générale, il convient d’admettre l’existence d’un cas de rigueur au sens de l’art. 66a al. 2 CP lorsque l’expulsion constituerait, pour l’intéressé, une ingérence d’une certaine importance dans son droit au respect de sa vie privée et familiale garanti par l’art. 13 Cst. et par le droit international, en particulier l’art. 8 CEDH (TF 6B_1417/2019 du 13 mars 2020 consid. 2.1.1 ; TF 6B_50/2020 du 3 mars 2020 consid. 1.3.1). Selon la jurisprudence, pour se prévaloir du droit au respect de sa vie privée au sens de l’art.</w:t>
      </w:r>
    </w:p>
    <w:p>
      <w:r>
        <w:rPr>
          <w:b/>
        </w:rPr>
        <w:t>E. 5.3</w:t>
      </w:r>
    </w:p>
    <w:p>
      <w:r>
        <w:t>En l’espèce, c’est en vain que l’appelant s’oppose à son expulsion, prononcée pour une durée de 5 ans par les premiers juges. L’appelant ayant été condamné pour escroquerie par métier, son expulsion doit être obligatoirement prononcée en vertu de l’art. 66a al. 1 let. c CP. Il est à noter qu’il en aurait été de même s’agissant de l’escroquerie (simple) à l’assurance sociale. Il ne saurait non plus se prévaloir de la clause de rigueur décrite à l’art. 66a al. 2 CP. Certes, cela fait 39 ans que l’appelant vit en Suisse et y travaille. Il n’en demeure pas moins que, comme relevé en première instance, son intérêt privé doit céder le pas face à l’intérêt public important à son expulsion. En effet, l’appelant ne peut pas se prévaloir d’une particulièrement bonne intégration en Suisse. Il a de solides attaches en Macédoine du Nord, dès lors que sa femme, ses filles majeures et ses petits-enfants y vivent. De plus, il y retourne plusieurs fois par année et envoie régulièrement de l’argent à ses proches restés au pays. Il n’a ainsi pas de parents proches en Suisse, à l’exception de cousins/cousines. Même si après une période de chômage, il a finalement retrouvé du travail, il s’agit toutefois de missions temporaires et il n’a toujours pas entrepris des démarches afin de rembourser le préjudice subi par l’aide sociale. Il est d’ailleurs relevé qu’il préfère envoyer de l’argent à sa famille lorsqu’il le peut. Enfin, l’appelant n’a pas démontré qu’il serait impossible pour lui de retrouver un travail en Macédoine du Nord. Il est à ce titre rappelé qu’il a travaillé dans différents secteurs d’activité en Suisse et qu’il a donc acquis des connaissances dans divers domaines. Il n’est dès lors pas à craindre qu’il puisse retrouver un emploi, comme il l’a fait en Suisse. Compte tenu de ce qui précède, l’intérêt privé d’T.________ à demeurer en Suisse cède le pas à l’intérêt public de l’en expulser pour une durée de 5 ans, celle-ci étant proportionnée. L’inscription SIS, non contestée, doit être ordonnée. 6. Au vu de ce qui précède, l’appel d’T.________ doit être rejeté et le jugement entrepris confirmé. Le défenseur d’office d’T.________, Me Cyril-Marc Amberger, a produit une liste d’opérations faisant état de 8 heures et 8 minutes de travail au tarif horaire de l’avocat et 17 heures consacrées par l’avocat-stagiaire, ainsi qu’une vacation à 120 francs. La durée en lien avec le travail effectué par le défenseur d’office est toutefois excessive et sera réduite à 2 heures. En effet, 17 heures ont déjà été comptabilisées en lien avec le travail effectué par l’avocat-stagiaire pour la procédure d’appel. Celles-ci sont déjà conséquentes, mais seront toutefois admises, compte tenu des diverses questions juridiques soulevées dans le cadre de la procédure d’appel. Par ailleurs, la vacation à 120 fr. sera réduite à 80 fr., soit au tarif de l’avocat-stagiaire, celui-ci ayant plaidé lors de l’audience d’appel. Il s’ensuit qu’au tarif horaire de 180 fr. pour l’avocat breveté et de 110 fr. pour l’avocat-stagiaire (art. 2 al. 1 let. a et b RAJ [règlement du 7 décembre 2010 sur l’assistance judiciaire en matière civile ; BLV 211.02.3], applicable par renvoi de l’art. 26b TFIP [tarif des frais de procédure et indemnités en matière pénale du 28 septembre 2010 ; BLV 312.03.1]), l’indemnité allouée à Me Cyril-Marc Amberger doit être fixée à 2’545 fr. 35, soit 2’230 fr. ([2h x 180 fr.] + [17h x 110 fr.]) à titre d’honoraires, 44 fr. 60 (2 % [art. 3bis al. 1 RAJ]) de débours forfaitaires, 80 fr. de vacation et 190 fr. 75 (8.1 %) de TVA sur le tout (art. 2 al. 3 RAJ ; art. 25 al. 1 LTVA [Loi fédérale du 12 juin 2009 régissant la taxe sur la valeur ajoutée ; RS 641.20]). Vu l’issue de la cause, les frais de la procédure d’appel, par 4’485 fr. 35, constitués en l’espèce de l’émolument d’audience et de jugement, par 1’940 fr. (art. 21 al. 1 TFIP), ainsi que de l’indemnité allouée à son défenseur d’office, seront mis à la charge de l’appelant, qui succombe (art. 428 al. 1 CPP). T.________ sera tenu de rembourser à l’Etat le montant de l’indemnité allouée à son défenseur d’office dès que sa situation financière le permettra.</w:t>
      </w:r>
    </w:p>
    <w:p>
      <w:r>
        <w:rPr>
          <w:b/>
        </w:rPr>
        <w:t>E. 8</w:t>
      </w:r>
    </w:p>
    <w:p>
      <w:r>
        <w:t>§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 TF 6B_627/2021 du 27 août 2021 consid. 4.2.2 ; TF 6B_379/2021 du 30 juin 2021 consid. 1.2). Un séjour légal de dix années suppose en principe une bonne intégration de l’étranger (ATF 144 I 266 consid. 3.9 ; TF 6B_38/2021 précité consid. 5.1.2). Par ailleurs, un étranger peut se prévaloir de l’art. 8 § 1 CEDH (et de l’art.</w:t>
      </w:r>
    </w:p>
    <w:p>
      <w:r>
        <w:rPr>
          <w:b/>
        </w:rPr>
        <w:t>E. 13</w:t>
      </w:r>
    </w:p>
    <w:p>
      <w:r>
        <w:t>Cst.) pour autant qu’il entretienne une relation étroite et effective avec une personne de sa famille ayant le droit de résider durablement en Suisse (ATF 144 II 1 consid. 6.1 ; ATF 139 I 330 consid. 2.1 ; TF 6B_379/2021 précité consid. 1.2). Les relations familiales visées par l’art. 8 § 1 CEDH sont avant tout celles qui concernent la famille dite nucléaire, soit celles qui existent entre époux ainsi qu’entre parents et enfants mineurs vivant en ménage commun (ATF 144 II 1 précité consid. 6.1 ; ATF 135 I 143 consid. 1.3.2 ; TF 6B_379/2021 précité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