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243 vom 11. Januar 2022</w:t>
      </w:r>
    </w:p>
    <w:p>
      <w:r>
        <w:t>VD Tribunal cantonal, 2022-01-11, FR</w:t>
      </w:r>
    </w:p>
    <w:p>
      <w:r>
        <w:rPr>
          <w:b/>
        </w:rPr>
        <w:t xml:space="preserve">Quelle: </w:t>
      </w:r>
      <w:r>
        <w:t>https://mcp.opencaselaw.ch/entscheid/vd_findinfo_Jug___2024___243</w:t>
      </w:r>
    </w:p>
    <w:p>
      <w:r>
        <w:t>FR: VD_FINDINFO Jug / 2024 / 243 du 11 janvier 2022</w:t>
      </w:r>
    </w:p>
    <w:p>
      <w:r>
        <w:t>IT: VD_FINDINFO Jug / 2024 / 243 del 11 gennaio 2022</w:t>
      </w:r>
    </w:p>
    <w:p>
      <w:pPr>
        <w:pStyle w:val="Heading2"/>
      </w:pPr>
      <w:r>
        <w:t>Regeste</w:t>
      </w:r>
    </w:p>
    <w:p>
      <w:r>
        <w:t>EXPULSION{DROIT PÉNAL}, OBTENTION ILLICITE DE PRESTATIONS D'UNE ASSURANCE SOCIALE, PROCÉDURE ÉCRITE, PEINE PÉCUNIAIRE, REJET DE LA DEMANDE, DÉCISION DE RENVOI | 148a CP, 34 CP, 42 al. 1 CP, 44 al. 1 CP, 47 CP, 66a al. 1 let. e CP, 107 LTF</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Dans son arrêt de renvoi du 11 décembre 2023 (6B_993/2023), le Tribunal fédéral a constaté que la Cour de céans avait retenu de manière manifestement inexacte que la période pendant laquelle l’appelant avait perçu des indemnités indues était de huit mois (du 23 octobre 2017 au 29 juin 2018), la période incriminée étant en réalité de quatre mois (des mois d’octobre 2017 à janvier 2018). Le Tribunal fédéral a considéré que le montant perçu par l’appelant, soit 6'304 fr. 15, se trouvait dans la zone « médiane » définie par sa jurisprudence, qui supposait d’évaluer l’ampleur de la faute en se fondant sur l’ensemble des circonstances de l’infraction, la période de perception illicite de la prestation étant précisément un facteur d’appréciation pertinent. La Cour de céans s’étant appuyée sur une durée de perception illicite des indemnités de chômage de huit mois alors qu’elle n’avait été, en réalité, que de quatre mois, elle avait fondé son appréciation des conditions de l’art. 148a al. 2 CP (Code pénal suisse du 21 décembre 1937 ; RS 311.0) sur un élément de fait manifestement inexact, dont la correction était susceptible d’influer sur le sort de la cause de sorte qu’il convenait d’admettre le grief tiré d’un établissement arbitraire des faits et de renvoyer la cause à l’autorité de céans pour nouvelle décision sur l’application de l’art. 148a al. 2 CP, étant relevé que l’admission du recours en relation avec la qualification de l’infraction entrainait également l’annulation de la décision cantonale sur la question de l’expulsion, seule l’infraction de l’art. 148a al. 1 CP constituant un cas d’expulsion obligatoire (cf. art. 66a al. 1 let. e CP).</w:t>
      </w:r>
    </w:p>
    <w:p>
      <w:r>
        <w:rPr>
          <w:b/>
        </w:rPr>
        <w:t>E. 3.1</w:t>
      </w:r>
    </w:p>
    <w:p>
      <w:r>
        <w:t>L’appelant soutient que le montant détourné de 6'304 fr. 15 est faible et que, conformément à la jurisprudence du Tribunal cantonal de Zurich (ZR 119/2020 du 3 octobre 2019) et du Tribunal fédéral (TF 1B_229/2021 du 9 septembre 2021), seule l’infraction d'obtention illicite de prestations d'une assurance sociale ou d'aide sociale de « peu de gravité » au sens de l’art. 148a al. 2 CP est réalisée. Il admet qu’il a annoncé tardivement à la Caisse cantonale de chômage qu’il suivait une formation en France tout en bénéficiant d’indemnités de chômage et qu’il a perçu un montant de 400 euros par mois durant sa formation. Il relève que ce montant lui permettait à peine de couvrir ses frais de déplacement, que la période incriminée a duré moins de quatre mois, soit du 1 er octobre 2017 au 9 janvier 2018, et qu’il a lui-même annoncé, dans sa demande d’indemnité de chômage du 3 octobre 2019, qu’il avait effectué une formation en France du 23 octobre 2017 au 29 juin 2018. Il allègue enfin qu’il a utilisé l’argent reçu pour ses besoins de première nécessité, qu’il a déployé une faible énergie criminelle, qu’il s’est déjà acquitté d’un montant supérieur à ses engagements découlant du plan de paiement convenu avec la Caisse cantonale de chômage le 16 mars 2021 et qu’il continue, respectivement continuera à rembourser la somme due par des versements réguliers.</w:t>
      </w:r>
    </w:p>
    <w:p>
      <w:r>
        <w:rPr>
          <w:b/>
        </w:rPr>
        <w:t>E. 3.2</w:t>
      </w:r>
    </w:p>
    <w:p>
      <w:r>
        <w:t>Aux termes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qui vise toutes les formes de tromperie, trouve application lorsque l'élément d'astuce, typique de l'escroquerie (art. 146 CP), n'est pas réalisé (TF 6B_797/2021 du 20 juillet 2022 consid. 2.1.1 et les références citées).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(Feuille fédérale 2013 5373, p. 5432 ; Dupuis et al. [éd.], Petit commentaire, Code pénal, 2 e éd., Bâle 2017, n. 4 ad art. 148a CP). L’obtention illicite d’une prestation d’une assurance sociale ou de l’aide sociale est une infraction intentionnelle, le dol éventuel étant suffisant. L’intention de l’auteur doit porter sur tous les éléments constitutifs objectifs de l’infraction, c’est-à-dire qu’il doit savoir et vouloir, au moins par dol éventuel, que, par ses agissements, il induit ou conforte la victime dans une erreur qui la conduira à verser une prestation à caractère social à laquelle lui-même ou le tiers auquel il la destine n’a pas droit (Garbarski/Borsodi, in : Macaluso/Moreillon/Queloz [éd.], Commentaire romand, Code pénal II, Art. 111-392 CP, Bâle 2017, nn. 25 et 25 ad art. 148a CP). Dans les cas de peu de gravité au sens de l'art. 148a al. 2 CP, l'infraction d'obtention illicite de prestations d'une assurance sociale ou de l'aide sociale, punie de l'amende, représente une contravention (cf. art. 103 CP ; TF 6B_993/2023 du 11 décembre 2023 consid. 1.1 et les références citées). La loi ne définit pas le cas de peu de gravité. Cependant, selon la jurisprudence rendue postérieurement à l'arrêt attaqué, lorsque le montant du délit est inférieur à 3'000 fr., il faut toujours partir du principe qu'il s'agit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 qui entraînent une diminution substantielle de la faute (ATF 149 IV 273 consid. 1.5.7 ; TF 6B_993/2023 du 11 décembre 2023 consid. 1.1). Ainsi, et en particulier lorsque le montant des prestations sociales obtenues de façon illicite se situe dans la zone médiane, il y a lieu de tenir compte d'autres éléments susceptibles de « réduire » la culpabilité de l'auteur (cf. art. 47 CP ; TF 6B_993/2023 du 11 décembre 2023 consid. 1.1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(ATF 149 IV 273 consid. 1.5.7 ; TF 6B_993/2023 du 11 décembre 2023 consid. 1.1 ; TF 6B_797/2021 précité consid. 2.2).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S'il existe des circonstances notables atténuant la faute, on est en présence d'un cas de peu de gravité (ATF 149 IV 273 consid. 1.5.7 ; TF 6B_993/2023 du 11 décembre 2023 consid. 1.1).</w:t>
      </w:r>
    </w:p>
    <w:p>
      <w:r>
        <w:rPr>
          <w:b/>
        </w:rPr>
        <w:t>E. 3.3.1</w:t>
      </w:r>
    </w:p>
    <w:p>
      <w:r>
        <w:t>En l’espèce, l’appelant s’appuie sur deux décisions pour démontrer que sa situation relèverait du cas de peu de gravité. Elles ne lui sont toutefois d’aucun secours. En effet, dans le premier arrêt cité (TF 1B_229/2021), l’affaire jugée par le Tribunal fédéral concernait la problématique de la désignation d’un défenseur d’office dans une « affaire de peu de gravité », notion qui ne se recoupe pas avec celle du « cas de peu de gravité » de l’art. 148a al. 2 CP, la première relevant du droit de procédure (art. 130 et 132 CPP) et la seconde du droit de fond dont le contexte d’application est ainsi fondamentalement différent. Par ailleurs, la Haute Cour ne s’est pas prononcée sur le montant de 10'659 fr. 70 détourné par la prévenue dans l’affaire en question pour examiner l’existence d’un droit à une défense d’office selon l’art. 132 al. 1 let. b CPP, ce qui démontre bien que les principes applicables ne sont pas les mêmes. De plus, dans cet arrêt, le Tribunal fédéral a retenu que la peine pécuniaire de 60 jours-amende prononcée par le Ministère public en application de l’art. 148a al. 1 CP – cas qui n’avait donc pas été considéré comme étant de peu de gravité – ne justifiait pas la désignation d’un défenseur d’office. A teneur de la jurisprudence cantonale zurichoise citée par l’appelant (ZR 119/2020), le seuil de 3'000 fr. serait trop bas et des prestations sociales de l’ordre de 10'000 fr. à 15'000 fr. pourraient encore être considérées comme des cas de peu de gravité. Or, comme exposé ci-avant, la jurisprudence rendue depuis le premier jugement de la Cour de céans a précisé le barème applicable au cas de peu de gravité en ce sens que l’autorité judiciaire ne doit pas limiter son examen au montant total indûment perçu par l’appelant lorsque celui-ci est compris entre 3'000 fr. et 35'999 fr. (zone médiane), mais doit apprécier la culpabilité de l’auteur au regard de l’ensemble des circonstances de l’espèce et en particulier l’énergie délictuelle déployée, la durée de la perception illicite et ses motivations (cf. consid. 1.1 de l’arrêt de renvoi TF 6B_993/2023 du 11 décembre 2023). Ainsi, si le montant détourné est inférieur à 3'000 fr., il s’agit indiscutablement d’un cas de peu de gravité. Entre 3'000 fr. et 35'999 fr. (zone médiane), il convient d’évaluer, au cas par cas, l’ampleur de la faute en se fondant sur l’ensemble des circonstances de l’infraction. Enfin, dès 36'000 fr., il n’est en principe plus possible de retenir un cas de peu de gravité, à moins de circonstances extraordinaires et particulièrement importantes qui entraîneraient une diminution substantielle de la faute.</w:t>
      </w:r>
    </w:p>
    <w:p>
      <w:r>
        <w:rPr>
          <w:b/>
        </w:rPr>
        <w:t>E. 3.3.2</w:t>
      </w:r>
    </w:p>
    <w:p>
      <w:r>
        <w:t>En l’occurrence, même si elle ne peut être qualifiée de longue, la période d’indemnisation de quatre mois en cause ne saurait non plus être considérée comme courte. Le comportement de l’appelant ne constitue pas une simple omission occasionnelle puisqu’il a rempli successivement chacune des quatre formules « Indication de la personne assurée » pour les mois d’octobre 2017 à janvier 2018 en cochant la réponse « Non » aux questions 1, 2 et 3 relatives à l’exercice d’une activité professionnelle, au suivi de cours ou de stage et à la question 6 relative à d’éventuelles absences pour un autre motif que des vacances (P. 5/1-3). Or, lors de sa nouvelle demande d’indemnité du 3 octobre 2019, l’appelant a annoncé avoir « séjourné à l’étranger en qualité de salarié(e) ou aux fins de formation » du 23 octobre 2017 au 29 juin 2018 (P. 5/3). Il a donc agi de manière délibérée et surtout répétée en dissimulant activement des faits importants à l’autorité chargée de statuer sur son droit au versement d’indemnités de chômage, alors qu’il avait l’obligation de renseigner spontanément cette autorité de toute amélioration de sa situation financière. Lors de son audition par le Ministère public le 4 juin 2021, l’appelant a déclaré avoir suivi une formation en France et s’être déplacé au Maroc pour une procédure de divorce (PV aud. 1 ll. 46-50 et 62-64). A ces déclarations, il faut cependant préférer les éléments que l’appelant avait fournis spontanément dans la formule établie à l’intention de la Caisse cantonale de chômage au mois d’octobre 2019, où il a précisément renseigné la rubrique relative à ses précédentes activités salariées en indiquant la période durant laquelle il était en France et en répondant « Non » à la question 31 relative à la formation scolaire ou au perfectionnement professionnel. Par ailleurs, lors de son audition par le juge de première instance, l’appelant a admis avoir perçu un revenu durant ses neuf mois d’activité en France (cf. jugement de première instance, p. 4). L’intensité de la volonté délictuelle de l’appelant est donc importante dès lors qu’elle s’est inscrite sur plusieurs mois d’affilée. Si les faits révélés par l’enquête avaient été décrits de manière exhaustive dans l’acte d’accusation, le comportement de l’appelant aurait pu relever d’un cas typique d’escroquerie, l’astuce étant réalisée par la dissimulation de faits importants que l’autorité administrative ne pouvait contrôler sans avoir recours à des moyens disproportionnés compte tenu de l’ampleur de ses activités, ce dont l’appelant a sciemment profité (cf. TF 6B_1221/2020 du 2 juin 2021 consid. 1.1.2). Quoi qu’il en soit, l’appelant a adopté un comportement actif sur la durée en remplissant les formules de l’assurance-chômage de manière mensongère pour dissimuler son activité rémunérée à l’étranger et le montant des revenus perçus. L’appelant a ainsi continué au fil des mois à percevoir indûment des prestations de la Caisse cantonale de chômage. Quant au montant détourné, même s’il peut paraître d’une ampleur objectivement limitée, celui-ci était toutefois subjectivement loin d’être négligeable pour l’appelant qui a déclaré en procédure que l’argent indûment obtenu n’avait pas uniquement servi à la couverture de ses besoins essentiels puisqu’il avait voyagé à l’étranger, notamment au Maroc. On ne saurait par conséquent admettre que le mobile et le but de l’appelant étaient compréhensibles au sens de la jurisprudence susmentionnée. Au vu des éléments qui précèdent, il n'existe pas de circonstances notables à même d'atténuer la faute de l'appelant de sorte que le comportement qui lui est reproché ne saurait être considéré comme étant constitutif d’un cas de peu de gravité au sens de l’art. 148a al. 2 CP. Le moyen de l’appelant doit ainsi être rejeté et sa condamnation pour obtention illicite d’une prestation d’une assurance sociale ou de l’aide sociale au sens de l’art. 148a al. 1 CP confirmée.</w:t>
      </w:r>
    </w:p>
    <w:p>
      <w:r>
        <w:rPr>
          <w:b/>
        </w:rPr>
        <w:t>E. 4.1</w:t>
      </w:r>
    </w:p>
    <w:p>
      <w:r>
        <w:t>L'appelant ne conteste pas la quotité de la peine pécuniaire infligée par le premier juge.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4.3</w:t>
      </w:r>
    </w:p>
    <w:p>
      <w:r>
        <w:t>Dans son jugement du 15 décembre 2022 (n o 445), la Cour de céans, qui a vérifié d'office la peine prononcée, a retenu que la culpabilité de l’appelant n’était pas anodine, puisqu’il avait bénéficié indûment de prestations de l’assurance-chômage durant huit mois consécutifs. Compte tenu de ce qui a été exposé ci-avant, il n’y a pas lieu de s’écarter de cette appréciation, quand bien même la durée de perception illicite de la prestation est finalement plus courte. L’appelant n’a manifesté aucune prise de conscience de la gravité de ses actes, allant jusqu’à expliquer que l’argent indûment perçu couvrait à peine les frais de ses déplacements en France. A décharge, il sera tenu compte du fait que l’appelant a admis les faits, qu’il a reconnu le montant total indûment perçu – qui est demeuré inchangé malgré la réduction de la période de perception –, qu’il n’a pas d’antécédents et qu’il a partiellement remboursé la somme perçue. Il s'ensuit que la peine pécuniaire de 60 jours-amende à 30 fr. prononcée par le premier juge demeure adéquate et doit être confirmée. Cette peine tient largement compte du fait que l’appelant a effectué tardivement des remboursements à la Caisse cantonale de chômage en février et en mai 2022, soit postérieurement à sa condamnation du 11 janvier 2022 par le Tribunal de police, à la suite du plan de paiement qu’il avait sollicité le 16 mars 2021 (P. 23/4 et P. 31/1/3). La valeur du jour-amende, fixée à 30 fr., tient compte de sa situation personnelle et économique et s’avère conforme aux exigences de l’art. 34 al. 2 CP. L’appelant n’ayant aucun antécédent pénal, il remplit les conditions d’octroi du sursis. Le délai d’épreuve assortissant le sursis, arrêté au minimum légal de deux ans (art. 44 al. 1 CP), peut être confirmé.</w:t>
      </w:r>
    </w:p>
    <w:p>
      <w:r>
        <w:rPr>
          <w:b/>
        </w:rPr>
        <w:t>E. 5.1</w:t>
      </w:r>
    </w:p>
    <w:p>
      <w:r>
        <w:t>; TF 6B_990/2020 précité).</w:t>
      </w:r>
    </w:p>
    <w:p>
      <w:r>
        <w:rPr>
          <w:b/>
        </w:rPr>
        <w:t>E. 5.2</w:t>
      </w:r>
    </w:p>
    <w:p>
      <w:r>
        <w:t>Aux termes de l'art. 66a al. 1 let. e CP, le juge expulse de Suisse l'étranger qui est notamment condamné pour obtention illicite de prestations d’une assurance sociale ou de l’aide sociale au sens de l’art. 148a al. 1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[Constitution fédérale de la Confédération suisse du 18 avril 1999 ; RS 101]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6B_1174/2021 précité ; TF 6B_215/2021 du 17 janvier 2022 consid.</w:t>
      </w:r>
    </w:p>
    <w:p>
      <w:r>
        <w:rPr>
          <w:b/>
        </w:rPr>
        <w:t>E. 5.3</w:t>
      </w:r>
    </w:p>
    <w:p>
      <w:r>
        <w:t>En l'espèce, la condamnation de l'appelant pour obtention illicite de prestations d’une assurance sociale ou de l’aide sociale au sens de l’art. 148a al. 1 CP étant confirmée, il remplit les conditions d’une expulsion obligatoire (art. 66a al. 1 let. e CP), sous réserve d'une application de la clause de rigueur prévue à l'art. 66a al. 2 CP. Sur ce point, contrairement à ce que soutient l'appelant, la culpabilité n'est pas un critère dont il convient de tenir compte dans l'application de cette clause et, quoi qu'il en soit, sa culpabilité n'est pas atténuée de manière significative par la réduction de la période perception illicite, compte tenu des autres éléments à charge pris en compte. Par ailleurs, quand bien même l'appelant dispose d'un emploi, sa situation professionnelle en Suisse est marquée par l’instabilité, puisqu’il a travaillé comme intérimaire et changé fréquemment d’emploi, travaillant successivement en qualité de maçon, de chauffeur d’engin, d’employé de maintenance et de monteur-frigoriste (mémoire d’appel, pp. 10 à 12 ; P. 31/1/5 à 10, P. 44/1/20, P. 46/1). L'argument selon lequel il a suivi diverses formations professionnelles en Suisse et a passé avec succès les examens y afférents n'est pas pertinent, ce d'autant que l'un des cours résulte d'une décision d'assignation prononcée par le Service de l'emploi (P. 12). S'agissant du plan de remboursement mis en place, il ne s'agit, là non plus, pas d'un critère déterminant sous l'angle de la clause de rigueur, mais tout au plus d'un élément neutre, puisque l'appelant ne fait que rembourser un montant qu'il a perçu de manière indue. Pour le surplus, l'appelant est un ressortissant français, pays dans lequel il a grandi et où il peut retourner vivre et travailler. Divorcé, il n’a pas de compagne ni d’enfant en Suisse. Aucun membre de sa famille n'y réside, celle-ci étant domiciliée pour l’essentiel au Maroc. Seul son petit frère travaille comme frontalier en Suisse, mais il n’y habite pas. L’appelant a effectué sa procédure de divorce au Maroc, ce qui atteste de liens importants avec ce pays. Il a par ailleurs occupé plusieurs domiciles en Suisse (P. 18/2, P. 23/2), sa présence sur le territoire étant entrecoupée de longs séjours en France (PV aud. 1, ll. 34 à 41, p. 2). Il ne peut revendiquer aucune intégration sociale significative et ne saurait par conséquent se prévaloir de liens étroits avec la Suisse. Quant à son entreprise individuelle, celle-ci n’en est qu’à ses balbutiements, rien ne permettant de soutenir qu’il ne serait pas capable de déployer la même activité économique dans son pays d’origine ni même au Maroc. Partant, compte tenu de son absence d’attaches particulières avec la Suisse et de l’infraction commise, l’expulsion de l’appelant ne constitue pas une ingérence importante dans son droit au respect de sa vie privée et familiale tel que garanti par les art. 13 Cst. et 8 § 1 CEDH et ne le placera manifestement pas dans une situation personnelle grave au sens de l’art. 66a al. 2 CP, dès lors qu’il ne devrait rencontrer aucune difficulté à s’intégrer socialement et professionnellement en France ou au Maroc. Cette mesure apparait donc proportionnée. Même si la peine prononcée n’est pas très importante, l’intérêt public à son expulsion l’emporte sur un éventuel intérêt privé à rester en Suisse. L’appel de X.________ doit ainsi être rejeté sur ce point et son expulsion du territoire suisse pour une durée de cinq ans, durée minimale prévue par la loi, confirmée.</w:t>
      </w:r>
    </w:p>
    <w:p>
      <w:r>
        <w:rPr>
          <w:b/>
        </w:rPr>
        <w:t>E. 6</w:t>
      </w:r>
    </w:p>
    <w:p>
      <w:r>
        <w:t>En définitive, l’appel de X.________ doit être rejeté et le jugement entrepris confirmé. Vu l’issue de la cause, c’est à juste titre que les frais relatifs au premier jugement sur appel, arrêtés à 1'650 fr., ont été mis à la charge de l’appelant. En revanche, les frais d’appel postérieurs à l’arrêt du Tribunal fédéral du 11 décembre 2023, constitués du seul émolument de jugement (art. 21 al. 1 et 2 TFIP [tarif des frais de procédure et indemnités en matière pénale du 28 septembre 2010 ; BLV 312.03.1]), par 1'650 fr., seront laissés à la charge de l’Etat (art. 428 al. 4 CPP). L'appelant, qui a procédé avec l'assistance d'un défenseur de choix, a droit, de la part de l'Etat, à une indemnité pour les dépenses obligatoires occasionnées par la seconde procédure d'appel (art. 429 al. 1 CPP). Au vu du mémoire déposé et de la nature de l'affaire, cette indemnité sera fixée à 826 fr. 95, correspondant à trois heures d’activité nécessaire d’avocat au tarif horaire de 250 fr. (art. 26a al. 3 TFIP), montant auquel il convient d’ajouter des débours forfaitaires à concurrence de 2 % des honoraires admis (art. 19 al. 2 TDC [tarif des dépens en matière civile du 23 novembre 2010 ; BLV 270.11.6], applicable par renvoi de l’art. 26a al. 6 TFIP), par 15 fr., plus la TVA au taux de 8,1 %, par 61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