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236 vom 31. August 2023</w:t>
      </w:r>
    </w:p>
    <w:p>
      <w:r>
        <w:t>VD Tribunal cantonal, 2023-08-31, FR</w:t>
      </w:r>
    </w:p>
    <w:p>
      <w:r>
        <w:rPr>
          <w:b/>
        </w:rPr>
        <w:t xml:space="preserve">Quelle: </w:t>
      </w:r>
      <w:r>
        <w:t>https://mcp.opencaselaw.ch/entscheid/vd_findinfo_Jug___2024___236</w:t>
      </w:r>
    </w:p>
    <w:p>
      <w:r>
        <w:t>FR: VD_FINDINFO Jug / 2024 / 236 du 31 août 2023</w:t>
      </w:r>
    </w:p>
    <w:p>
      <w:r>
        <w:t>IT: VD_FINDINFO Jug / 2024 / 236 del 31 agosto 2023</w:t>
      </w:r>
    </w:p>
    <w:p>
      <w:pPr>
        <w:pStyle w:val="Heading2"/>
      </w:pPr>
      <w:r>
        <w:t>Regeste</w:t>
      </w:r>
    </w:p>
    <w:p>
      <w:r>
        <w:t>MORT, ACCIDENT DE LA CIRCULATION, CYCLE, VÉHICULE ÉLECTRIQUE, DISPOSITIONS PÉNALES DE LA LCR | 117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A.E.________ est recevable.</w:t>
      </w:r>
    </w:p>
    <w:p>
      <w:r>
        <w:rPr>
          <w:b/>
        </w:rPr>
        <w:t>E. 1.1</w:t>
      </w:r>
    </w:p>
    <w:p>
      <w:r>
        <w:t>;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requiert à titre de mesures d’instruction, un complément d’expertise auprès du DTC avec pour mission de répondre notamment aux questions suivantes : " - dans l’hypothèse où le temps de sécurité est de 7 secondes (3’’ jaunes et 4’’ rouges), à quelle distance le cycliste se trouvait de la ligne d’arrêt lorsque le feu est passé au jaune, respectivement le feu est passé au rouge ? - Toujours dans cette hypothèse, à la vitesse à laquelle le cycliste circulait, pouvait-il s’arrêter à temps ? " .</w:t>
      </w:r>
    </w:p>
    <w:p>
      <w:r>
        <w:rPr>
          <w:b/>
        </w:rPr>
        <w:t>E. 3.2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w:t>
      </w:r>
    </w:p>
    <w:p>
      <w:r>
        <w:rPr>
          <w:b/>
        </w:rPr>
        <w:t>E. 3.3</w:t>
      </w:r>
    </w:p>
    <w:p>
      <w:r>
        <w:t>En l'occurrence, cette réquisition doit être rejetée. D’une part, elle n’a pas été formulée aux débats de première instance. D'autre part, à supposer que l’on retienne un temps de sécurité de 7’’ entre le feu vert descendant et le feu vert transversal pour les piétons, peu importe que le cycliste ait été en mesure de s’arrêter ou non au feu rouge. En effet, soit il ne l’était pas et sa vitesse doit dès lors être considérée comme fautivement excessive, soit il l’était et il choisit de ne pas s’arrêter, ce qui est également fautif. Les deux fautes apparaissent au demeurant équivalentes dans la mesure où elles engendrent exactement le même risque pour la circulation environnante. On ne voit dès lors pas que cela changerait l’appréciation concernant l’interruption du lien de causalité entre la faute de l’appelant et l’accident. Cette réquisition doit ainsi être rejetée par appréciation anticipée des preuves.</w:t>
      </w:r>
    </w:p>
    <w:p>
      <w:r>
        <w:rPr>
          <w:b/>
        </w:rPr>
        <w:t>E. 4.1</w:t>
      </w:r>
    </w:p>
    <w:p>
      <w:r>
        <w:t>L’appelant invoque une violation de la présomption d’innocence et l’arbitraire dans l’appréciation des faits. Il fait valoir trois moyens concernant l’établissement les faits, qu’il convient d’examiner simultanément : - dans un premier moyen, l’appelant fait valoir que le premier juge ne pouvait pas retenir que le temps de sécurité, à savoir le temps entre le passage au jaune du feu du cycliste et le passage au vert du feu du piéton était de 4'' alors que cela n’avait pas pu être reconstitué à cause d’un problème technique le jour en question. L’expert avait d’ailleurs formulé des hypothèses qui amenaient à retenir que le cycliste avait passé alors que son feu était rouge, comme l’avait toujours soutenu l’appelant. La réalité du fonctionnement des feux, tel que cela ressortait du rapport complémentaire de la police (P 48/1 p. 3 in fine) devait amener à retenir un temps de sécurité de 7'' (3’’ jaunes et 4’’ rouges), qui correspondait à la réalité du fonctionnement des feux sur place. En considérant la vitesse du cycliste, soit plus de 50 km/h, il était à plus 80 mètres des feux lorsque ceux-ci avaient passé à l’orange et à plus de 40 mètres des feux lorsqu’ils avaient passé au rouge, de sorte que sa faute était gravissime. Par ailleurs, lorsque l'appelant s’était élancé au moyen de sa trottinette, le feu était rouge pour les véhicules descendants, ce qui était renforcé par la présence d’une voiture noire arrêtée juste à côté de lui (expertise DTC 4.4 figure 10 p. 13), véhicule qui empêchait d’ailleurs le cycliste de voir le piéton s’élancer. Selon lui, le premier juge ne devait pas rejeter les demandes d’expertise complémentaire si le raisonnement de l’appelant, envisagé par les experts, était trop théorique. De même, il ne pouvait simplement spéculer qu’on verrait mal un cycliste normalement avisé passer au rouge (jugement attaqué p. 12), le piéton pouvant bénéficier, également, de cet argumentaire. Dans un deuxième moyen, A.E.________ fait valoir que le cycliste n’a pas freiné et que le premier juge n’aurait pas dû retenir la vitesse moyenne estimée par l’expert, mais, au bénéfice du doute, la vitesse qui était la plus favorable à l'appelant, soit 52,2 km/h. Il s’agit d’une vitesse considérable en descente pour un vélo au vu de ses capacités limitées de freinage et d’évitement, et surtout supérieure ou égale à la vitesse maximale autorisée mais, en substance, non adaptée aux conditions de circulation. A cette vitesse-là, il fallait 40 mètres pour s’immobiliser et le cycliste disposait du double si l’on avait tenu compte du temps de sécurité de 7''. Dans un troisième moyen, l’appelant fait encore valoir qu’au bénéfice du doute, il fallait retenir que la distance qu’il avait parcourue entre le bord de la chaussée et le prolongement de la piste cyclable était de 4,2 mètres – et non de 6 mètres – valeur la plus basse retenue par l’expert (expertise 3.1 p. 8). Il est ainsi certain que lorsqu’il s’est engagé sur le passage piéton, le feu du cycliste était déjà au rouge. Le contraire aurait été extrêmement téméraire mais en plus, on ne voit pas pourquoi il n’aurait pas attendu sur le trottoir après avoir appuyé sur le bouton.</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4.3</w:t>
      </w:r>
    </w:p>
    <w:p>
      <w:r>
        <w:t>En l’espèce, certains éléments factuels ne sont pas contestés par la défense. Ainsi, à 6 heures 43 minutes et 45 secondes (ci-après : 6 :43 :45), le cycliste descendait sur l’avenue Tivoli, aucun autre cycliste n’étant présent. Il a passé devant le champ couvert par une caméra. Ensuite, le feu réglant le passage pour piétons à l’avenue de Tivoli a passé de la phase rouge à la phase verte à 6:43:48 (Rapport de police du 18 juin 2020 ; P. 27/1, en page 11, ce qui est établi grâce à la caméra d’un kiosque voisin, situé à l’intersection Belvédère/Tivoli/Sévelin). Toujours selon ce rapport, le cycliste a donc passé le carrefour trois secondes avant que le feu pour piétons ne passe au vert. Comme retenu par le Tribunal, il s’en déduit assez aisément que le piéton-trottinetiste s’est engagé au rouge, étant rappelé que le heurt est intervenu sur la bande cyclable située entre les deux voies de circulation pour voitures. En revanche, contrairement à ce qu’a retenu le Tribunal de Police, il faut retenir, au-delà de tout doute raisonnable, que le prévenu était sur sa trottinette lorsque l’accident a eu lieu. En effet, il a indiqué, connaissant bien les lieux et effectuant ce trajet quotidiennement pour se rendre au travail, dans ses premières déclarations que, même s’il ne se souvenait pas des événements, il traversait habituellement en plaçant son pied droit sur la plate-forme et se lançait avec son pied gauche en arrière pour effectuer une poussée afin d'activer l’assistance électrique pour traverser la chaussée (P. 27 p. 9). Il n’y a pas de raison pour qu’il ait procédé différemment ce jour-là. Il se souvenait par ailleurs avoir attendu au feu en ayant placé un pied de chaque côté de la trottinette (P. 27 p. 8). Cette position n’est pas celle de celui qui va s’engager sur le passage piétons en poussant un véhicule mais bien en montant dessus. Par ailleurs, le fait de ne pas attendre que le feu passe au vert dénote une certaine impatience peu compatible avec le fait de décider ensuite de marcher à côté de son engin. Enfin, les experts ont fait des calculs minutieux s’agissant du temps nécessaire à l’appelant pour parcourir la distance trottoir-accident, en partant de l’hypothèse qu’il était sur sa trottinette (P. 58/2 pp 10.11) sans que le prévenu ne réagisse à cet égard pour contester cet état de fait. Pour tous ces motifs, il faut retenir que le prévenu était sur sa trottinette au moment de l’accident. La défense plaide que le choc a eu lieu non pas à quelque 6 mètres de la bordure du trottoir mais à quelque 4.2 mètres, dans la version la plus favorable au prévenu, dès lors que cela ressort du rapport d’expertise (expertise 3.1 p. 8). Il n’en est rien. On voit aisément la trajectoire du cycliste sur le rapport de police, qui est au milieu de la bande cycliste. On ne voit pas pourquoi il aurait dévié sur sa droite avant l’accident. Le milieu de la piste cyclable est bien approximativement à 6 mètres du bord du trottoir selon l’échelle des plans de la Commune (P. 28/18 et P. 22 p. 23). Quoiqu’il en soit, les experts ont calculé le temps mis par l’appelant pour se déplacer du trottoir jusqu’au lieu de l’accident en retenant une distance moyenne de 5.1 mètres, ce qui est déjà en faveur de la défense (P. 58/2 p. 10). S’agissant du temps de sécurité dans l'alternance des feux autrement dit le temps pendant lequel les feux piétons et véhicules descendants sont les deux en phase orange et rouge, ce temps de sécurité fixe est décrit dans le même rapport (P. 27 p. 15) d’un minimum de 3'' pour le feu orange et de 1'' pour le feu rouge. Il est exact que le temps de sécurité était peut-être supérieur, la Cour ne disposant pas des informations exactes concernant les alternances des feux le jour en question. Ainsi, dans la version la plus favorable à la défense, on peut retenir un temps de sécurité de 7’’. Dans l’expertise technique du 3 mars 2022 (P. 58/2) les experts estiment que la vitesse du cycliste au moment de la collision se situe entre 31 et 41 km/h (P. 58/2 p. 12). Il est exact que les experts ont tenu compte de la vitesse au moment de l’accident et après freinage et qu’il ressort de l’ensemble des témoignages et de l’expertise que le vélo n’a pas nécessairement freiné et qu’il roulait vite (expertise ch. 4.4 p. 13; PV aud. 2 R 5 in fine, PV aud. 1 lignes 19 à 22). Au bénéfice du doute, on retiendra ainsi une vitesse de 52,2 km/heure (expertise p. 9, 10). En définitive, on retiendra, dans la version la plus favorable au prévenu, que la victime passe à 23 mètres du passage piéton à 6 :43 :45 à 52 km/h alors que le feu a passé à l’orange dans la voie descendante à 6 :43 :41 (6 :43 :48 – 7'') et au rouge à</w:t>
      </w:r>
    </w:p>
    <w:p>
      <w:r>
        <w:rPr>
          <w:b/>
        </w:rPr>
        <w:t>E. 6</w:t>
      </w:r>
    </w:p>
    <w:p>
      <w:r>
        <w:t>:43 :44. Le feu piéton pour l’appelant passe au vert à 6 :43 :48, de sorte que l’appelant s’est engagé avant que le feu ne passe au vert, l’accident ayant eu lieu à 6 :43 :46 (à 52 km/h, le cycliste met 1,6’’ pour effectuer 23 mètres, distance qui le sépare du passage piéton lorsqu’il passe la caméra de vidéosurveillance). L’appelant a ainsi anticipé largement le feu vert, ce qui est d'ailleurs relevé par les experts qui évaluent l'anticipation entre 4.9 et 5.5 secondes, soit 2,9 à 3,5 secondes plus 2 secondes entre l’accident et le passage du feu au vert [P. 58/2 pp. 10-11]). Ainsi, s'il est retenu, au bénéfice du doute, que le cycliste a franchi le carrefour peu après que le feu descendant a passé en phase rouge et alors qu'il était légèrement en excès de vitesse, l'appelant s'est engagé, sur sa trottinette, sur un passage piéton, sans attendre que le feu piéton ne passe au vert, anticipant considérablement le moment où la voie serait libre. Aucun des deux protagonistes n'avait de visibilité sur l'autre en raison d'un véhicule à l'arrêt sur la voie descendante côté Sévelin. 5. 5.1 L’appelant fait valoir que son comportement n’a pas revêtu dans l’accident, une importance telle qu’il peut être considéré comme sa cause la plus immédiate. Selon lui, la faute du cycliste est la cause première de l’accident, reléguant du même coup sa faute à l’arrière-plan. Il rappelle que la jurisprudence avait admis que le fait d’anticiper son feu vert était un comportement commun qui ne représentait pas une faute pas très importante (TF 6B_1280/2019 du 5 février 2020 c. 4.3). 5.2 5.2.1 Selon l'art. 117 CP, quiconque, par négligence, cause la mort d’une personne est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p. 140; 135 IV 56 consid. 2.1 p. 64 et les références citées). Lorsqu'il existe des normes de sécurité spécifiques qui imposent un comportement déterminé pour prévenir les accidents, le devoir de prudence se définit en premier lieu à l'aune de ces normes (ATF 143 IV 138 consid. 2.1 p. 140; 135 IV 56 consid. 2.1 p. 64). Dans le domaine du trafic routier, on se référera donc aux règles de la circulation (ATF 126 IV 91 consid. 4a/aa p. 92; arrêt 6B_1148/2018 du 6 décembre 2018 consid. 2.1). Il faut en outre qu'il existe un rapport de causalité entre la violation fautive du devoir de prudence et le décès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w:t>
      </w:r>
    </w:p>
    <w:p>
      <w:r>
        <w:rPr>
          <w:b/>
        </w:rPr>
        <w:t>E. 6.1</w:t>
      </w:r>
    </w:p>
    <w:p>
      <w:r>
        <w:t>L’appelant reproche au premier juge de ne pas avoir pris en compte l’art. 44 CO. Selon lui, il ne pouvait pas faire abstraction de la faute concomitante du cycliste, suffisamment lourde pour conduire à une réduction très importante des prétentions civiles, soit à hauteur de 90 %.</w:t>
      </w:r>
    </w:p>
    <w:p>
      <w:r>
        <w:rPr>
          <w:b/>
        </w:rPr>
        <w:t>E. 6.2.1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Selon la pratique judiciaire répertoriée, pour la période courant de 1998 à 2000, on peut se fonder sur un montant ordinaire de 30'000 fr. à 50'000 fr. pour le conjoint et de 15'000 fr. à 30'000 fr. pour les enfants (Hütte/Ducksch/Gross, Le tort moral, 3 e éd., avril 1996, p. I/62a, n. 7.4). Ces montants ont été portés plus récemment de 40'0000 à 50'000 pour la perte d'un conjoint et de 20'000 à 40'000 fr. pour la perte d'un parent (Guyaz, Le tort moral en cas d'accident : une mise à jour, in SJ 2013 II 215, p. 250 et les références citées).</w:t>
      </w:r>
    </w:p>
    <w:p>
      <w:r>
        <w:rPr>
          <w:b/>
        </w:rPr>
        <w:t>E. 6.2.2</w:t>
      </w:r>
    </w:p>
    <w:p>
      <w:r>
        <w:t>La possibilité de réduire une indemnité pour tenir compte d'une faute concomitante, résultant de l'art. 44 al. 1 CO, existe dans le cas d'une indemnité pour tort moral (cf. ATF 131 III 12 consid.</w:t>
      </w:r>
    </w:p>
    <w:p>
      <w:r>
        <w:rPr>
          <w:b/>
        </w:rPr>
        <w:t>E. 6.3</w:t>
      </w:r>
    </w:p>
    <w:p>
      <w:r>
        <w:t>En l'occurrence, les montants alloués par le premier juge se situent dans la fourchette de la pratique judiciaire telle que répertoriée ci-dessus et le premier juge s'est fondé à juste titre sur l'intensité des relations entre la victime et son épouse et la victime et son enfant. Il a encore mis en évidence l'ampleur du traumatisme, attesté médicalement pour l'enfant et sa mère. Il a en particulier mentionné le rapport du pédopsychiatre de l'enfant du 28 juillet 2023 faisant état de l'impact de ce drame sur son patient, le défunt étant décrit comme un père investi et très présent auprès de son fils, ainsi que le diagnostic de réaction dépressive prolongée et de troubles de l'adaptation émis par la pédopsychiatre (P. 85/2). S'agissant de B.Q.________, le premier juge a relevé le grand désarroi et l'existence d'un deuil insurmontable engendrant des angoisses importantes constatés par son médecin-généraliste ainsi que l'état dépressif nettement aggravé depuis le drame, le profond sentiment de détresse et l'état de stress post-traumatique très marqué observé par son psychiatre. Au vu de ces éléments, les montants alloués, soit 40'000 fr. pour le fils de la victime et 50'000 fr. pour son épouse, sont adéquats et ils doivent être confirmés, de même que l'allocation du montant de 4'413 fr., correspondant aux frais funéraires, alloués à titre de réparation du dommage (art. 45 al. 1 CO). Par ailleurs, une réduction de ces montants telle que requise par l'appelant sur la base de l'art. 44 al. 1 CO ne saurait s'imposer, l'analyse effectuée au considérant 5.3 ci-dessus ne retenant pas une faute concomitante du cycliste, mais une erreur d'appréciation. Mal fondé, le grief de l'appelant sera rejeté. 7. 7.1 A.E.________ fait encore valoir que la peine est excessive. Il s’agissait d’une simple contravention dont il était bien incapable de mesurer les conséquences mortelles exceptionnelles, dès lors qu’il est rare qu’un piéton cause, par sa seule présence, le décès d’un usager de la route. La faute devait se situer au plus bas de l’échelle, d’autant qu'il avait lui-même été très impacté par l’accident. 7.2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6B_631/2021 du 7 février 2022 consid. 1.1). 7.3 En l'occurrence, la culpabilité de A.E.________ n'est pas anodine. On relèvera toutefois que nonobstant le résultat tragique, la faute qu'il a commise demeure une simple contravention et qu'il a douloureusement ressenti le décès de A.Q.________, ce que son épouse a confirmé. On notera encore l'absence d'antécédents et qu'il a lui-même été blessé dans l'accident. Au vu de ces éléments, dont le premier juge avait également déjà tenu compte, la condamnation de A.E.________ à 45 jours-amende à 30 fr. le jour est adéquate et doit être confirmée. Par ailleurs, contrairement à ce que semble penser l'appelant, la quotité de la peine prononcée se situe plutôt en bas de l'échelle. Cette peine sera assortie du sursis, dont il remplit les conditions, pour une durée de deux ans. Enfin, l'amende de 300 fr. prononcée à titre de sanction immédiate est adéquate et peut être confirmée, de même que la peine privative de liberté de trois jours en cas de non-paiement fautif.</w:t>
      </w:r>
    </w:p>
    <w:p>
      <w:r>
        <w:rPr>
          <w:b/>
        </w:rPr>
        <w:t>E. 8</w:t>
      </w:r>
    </w:p>
    <w:p>
      <w:r>
        <w:t>En définitive, l'appel doit être rejeté et le jugement entrepris intégralement confirmé. Vu le sort de la cause aucune indemnité du chef de l'art. 429 CPP ne sera allouée à A.E.________. S’agissant de la liste des opérations déposée par Me Christoph Loetscher, conseil d’office de B.Q.________, il n’y a pas lieu de s’écarter de la durée alléguée, si ce n’est pour ajouter celle de l’audience d’appel, soit 2h00. Au tarif horaire de 180 fr. l’indemnité allouée sera fixée, pour les opérations effectuées, jusqu’au 31 décembre 2023, à 711 fr. 85, soit 648 fr. à titre d’honoraires, 12 fr. 96 de débours forfaitaires à 2%, et 50 fr. 90 de TVA au taux de 7,7% sur le tout, et, pour les opérations effectuées depuis le 1er janvier 2024, à 2'253 fr. 37, soit 1'926 fr. à titre d’honoraires, 38 fr. 52 de débours forfaitaires, 120 fr. pour une vacation et 168 fr. 85 de TVA au taux de 8,1% sur le tout, ce qui porte l’indemnité à 2'965 fr. 20 au total. La charge de l'indemnité due au conseil d'office des parties civiles sera exceptionnellement laissée à l'Etat, cet accident ayant déjà beaucoup de conséquences financières pour le prévenu. Compte tenu de l’issue de la cause, les frais de la procédure d’appel, constitués de l’émolument de jugement, par 2'790 fr. (art. 21 al. 1 et 2 TFIP [tarif des frais de procédure et indemnités en matière pénale du 28 septembre 2010 ; BLV 312.03.1]), seront mis à la charge de A.E.________,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