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21 vom 18. September 2022</w:t>
      </w:r>
    </w:p>
    <w:p>
      <w:r>
        <w:t>VD Tribunal cantonal, 2022-09-18, FR</w:t>
      </w:r>
    </w:p>
    <w:p>
      <w:r>
        <w:rPr>
          <w:b/>
        </w:rPr>
        <w:t xml:space="preserve">Quelle: </w:t>
      </w:r>
      <w:r>
        <w:t>https://mcp.opencaselaw.ch/entscheid/vd_findinfo_Jug___2024___21</w:t>
      </w:r>
    </w:p>
    <w:p>
      <w:r>
        <w:t>FR: VD_FINDINFO Jug / 2024 / 21 du 18 septembre 2022</w:t>
      </w:r>
    </w:p>
    <w:p>
      <w:r>
        <w:t>IT: VD_FINDINFO Jug / 2024 / 21 del 18 settembre 2022</w:t>
      </w:r>
    </w:p>
    <w:p>
      <w:pPr>
        <w:pStyle w:val="Heading2"/>
      </w:pPr>
      <w:r>
        <w:t>Regeste</w:t>
      </w:r>
    </w:p>
    <w:p>
      <w:r>
        <w:t>DEMANDE ADRESSÉE À L'AUTORITÉ, RÉVISION{DÉCISION}, REJET DE LA DEMANDE, DÉCISION D'IRRECEVABILITÉ, FRAIS JUDICIAIRES | 410 al. 1 CPP (CH), 412 al. 2 CPP (CH)</w:t>
      </w:r>
    </w:p>
    <w:p>
      <w:pPr>
        <w:pStyle w:val="Heading2"/>
      </w:pPr>
      <w:r>
        <w:t>Erwägungen</w:t>
      </w:r>
    </w:p>
    <w:p>
      <w:r>
        <w:rPr>
          <w:b/>
        </w:rPr>
        <w:t>E. 1</w:t>
      </w:r>
    </w:p>
    <w:p>
      <w:r>
        <w:t>CPP). Si les motifs de révision sont fondés, la juridiction d’appel annule partiellement ou entièrement la décision attaquée ; de plus, elle renvoie la cause pour nouveau traitement ou nouveau jugement à l’autorité qu’elle désigne ou elle rend elle-même une nouvelle décision si l’état du dossier le permet (art. 413 al. 2 CPP). L'examen préalable de la demande de révision relève de la procédure écrite (art. 412 al. 1 CPP).</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Si la juridiction d’appel constate que les motifs de révision ne sont pas fondés, elle rejette la demande de révision et annule les éventuelles mesures provisoires (art. 413 al.</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 TF 6B_32/2022 du 5 mai 2022 consid. 1.3).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6B_32/2022 précité).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6B_1197/2020 du 19 juillet 2021 consid. 1.1), ou encore lorsque la demande de révision apparaît abusive (TF 6B_32/2022 précité consid. 1.4 ; TF 6B_813/2020 du 22 juillet 2020 consid. 1.1 ; TF 6B_297/2020 du 10 juillet 2020 consid. 1.1.2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6B_32/2022 précité ; TF 6B_982/2020 du 12 mai 2021 consid. 1.1 ; TF 6B_574/2019 du 9 septembre 2019 consid. 1.2.1 et les références citées).</w:t>
      </w:r>
    </w:p>
    <w:p>
      <w:r>
        <w:rPr>
          <w:b/>
        </w:rPr>
        <w:t>E. 1.3</w:t>
      </w:r>
    </w:p>
    <w:p>
      <w:r>
        <w:t>La révision peut porter sur la question de la culpabilité et la question civile, mais non sur celle des frais ou des indemnités (FF 2006 1057 p. 1303 ; TF 6B_1039/2013 du 10 mars 2014 consid. 2.2 ; Moreillon/Parein-Reymond, Petit Commentaire, Code de procédure pénale, 2 e éd., Bâle 2016, n. 15 ad art. 410 CPP).</w:t>
      </w:r>
    </w:p>
    <w:p>
      <w:r>
        <w:rPr>
          <w:b/>
        </w:rPr>
        <w:t>E. 2.1</w:t>
      </w:r>
    </w:p>
    <w:p>
      <w:r>
        <w:t>A l’appui de sa demande de révision, A.S.________ fait valoir que par jugement du 4 octobre 2023, le Tribunal correctionnel l’a libéré de l’infraction grave à la loi fédérale sur les stupéfiants et a été constaté que la détention provisoire subie était injustifiée. Se fondant sur les art. 410 al. 1 let. b et 413 al. 2 et let. b CPP, le requérant sollicite la révision de l’arrêt de la Chambre des recours pénale du 17 octobre 2022 en tant qu’il met les frais d’arrêt ainsi que l’indemnité de défense d’office à sa charge.</w:t>
      </w:r>
    </w:p>
    <w:p>
      <w:r>
        <w:rPr>
          <w:b/>
        </w:rPr>
        <w:t>E. 2.2</w:t>
      </w:r>
    </w:p>
    <w:p>
      <w:r>
        <w:t>En l’occurrence, la question des frais judiciaires perçus par la Chambre des recours pénale devait être réglée devant le Tribunal correctionnel. Ainsi, faute d’avoir élevé une quelconque prétention au sens de l’art. 429 CPP relative à la mise à sa charge des frais de l’arrêt précité avant la clôture des débats de première instance, le requérant est forclos à le faire dans le cadre de la procédure de révision. Par surabondance, on relèvera que les décisions rendues par la Chambre des recours pénale n’entrent pas dans le numerus clausus des cas de révision prévus à l’art. 410 CPP. Partant, la voie de la révision n’est de toute façon pas ouverte auprès de la Cour d’appel pénale. Compte tenu de ce qui précède, la requête de A.S.________ est manifestement irrecevable.</w:t>
      </w:r>
    </w:p>
    <w:p>
      <w:r>
        <w:rPr>
          <w:b/>
        </w:rPr>
        <w:t>E. 3</w:t>
      </w:r>
    </w:p>
    <w:p>
      <w:r>
        <w:t>Il s’ensuit que la demande de révision présentée par A.S.________ doit être déclarée irrecevable, sans échange d’écritures (art. 412 al. 2 CPP). Vu l’issue de la cause, les frais de la procédure de révision, par 550 fr. (art. 21 et 22 TFIP),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