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205 vom 6. November 2023</w:t>
      </w:r>
    </w:p>
    <w:p>
      <w:r>
        <w:t>VD Tribunal cantonal, 2023-11-06, FR</w:t>
      </w:r>
    </w:p>
    <w:p>
      <w:r>
        <w:rPr>
          <w:b/>
        </w:rPr>
        <w:t xml:space="preserve">Quelle: </w:t>
      </w:r>
      <w:r>
        <w:t>https://mcp.opencaselaw.ch/entscheid/vd_findinfo_Jug___2024___205</w:t>
      </w:r>
    </w:p>
    <w:p>
      <w:r>
        <w:t>FR: VD_FINDINFO Jug / 2024 / 205 du 6 novembre 2023</w:t>
      </w:r>
    </w:p>
    <w:p>
      <w:r>
        <w:t>IT: VD_FINDINFO Jug / 2024 / 205 del 6 novembre 2023</w:t>
      </w:r>
    </w:p>
    <w:p>
      <w:pPr>
        <w:pStyle w:val="Heading2"/>
      </w:pPr>
      <w:r>
        <w:t>Regeste</w:t>
      </w:r>
    </w:p>
    <w:p>
      <w:r>
        <w:t>FAUX MATÉRIEL DANS LES TITRES, BLANCHIMENT D'ARGENT, DISPOSITIONS PÉNALES DE LA LAVS, ESCROQUERIE | 146 al. 1 CP, 251 ch. 1 CP, 305bis ch. 1 CP, 87 LAVS</w:t>
      </w:r>
    </w:p>
    <w:p>
      <w:pPr>
        <w:pStyle w:val="Heading2"/>
      </w:pPr>
      <w:r>
        <w:t>Erwägungen</w:t>
      </w:r>
    </w:p>
    <w:p>
      <w:r>
        <w:rPr>
          <w:b/>
        </w:rPr>
        <w:t>E. 1</w:t>
      </w:r>
    </w:p>
    <w:p>
      <w:r>
        <w:t>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L’appelant ne conteste ni les faits qui lui sont reprochés, ni la peine prononcée à son encontre. Il s’oppose en revanche à son expulsion du territoire suisse et soutient que le tribunal de première instance a appliqué l’art. 66a al. 1 let. f CP de façon erronée. Citant la jurisprudence fédérale, il relève que cette disposition ne prévoit l'expulsion obligatoire pour l'escroquerie simple qu'en cas d'actes commis au préjudice des collectivités de droit public. Il considère que sa situation est similaire à celle évoquée dans l’arrêt fédéral dont il se prévaut, à savoir que la partie lésée est une entité privée, de sorte que son expulsion n'est pas obligatoire. Il précise en outre qu’une telle expulsion n’est pas compatible avec sa situation personnelle et l’empêcherait de poursuivre le remboursement du dommage causé auquel il se soumet depuis plusieurs mois.</w:t>
      </w:r>
    </w:p>
    <w:p>
      <w:r>
        <w:rPr>
          <w:b/>
        </w:rPr>
        <w:t>E. 3.1.1</w:t>
      </w:r>
    </w:p>
    <w:p>
      <w:r>
        <w:t>Selon l'art. 66a al. 1 let. f in initio CP, le juge expulse de Suisse, pour une durée de cinq à quinze ans, l'étranger qui est condamné pour escroquerie (art. 146 al. 1 CP), escroquerie en matière de prestations et de contributions (art. 14 al. 1, 2 et 4 DPA [loi fédérale du 22 mars 1974 sur le droit pénal administratif, RS 313.0]), fraude fiscale, détournement de l'impôt à la source ou autre infraction en matière de contributions de droit public passible d'une peine privative de liberté maximale d'un an ou plus. La jurisprudence a toutefois précisé que l’escroquerie « simple » n’était pas visée par cette disposition mais, conformément aux derniers mots de l’art. 66a al. 1 let. f CP, l’escroquerie dans le domaine de contributions de droit public (TF 6B_688/2022 du 14 juin 2023 consid. 4.1 ; TF 6G_3/2019 du 15 octobre 2019 consid. 1.4 et les réf. citées). Cette disposition concerne dès lors uniquement l'escroquerie dans le domaine des contributions publiques. Ainsi, l'escroquerie simple conduit à une expulsion obligatoire uniquement lorsqu'elle se fait au préjudice d'une assurance sociale ou de l'aide sociale (let. e) ou qu'il s'agit d'une escroquerie en matière de contributions publiques (let. f).</w:t>
      </w:r>
    </w:p>
    <w:p>
      <w:r>
        <w:rPr>
          <w:b/>
        </w:rPr>
        <w:t>E. 3.1.2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ATF 135 II 377 consid. 4.3 ; TF 6B_325/2022 précité consid. 1.1 ; TF 6B_756/2021 du 23 mars 2022 consid. 4.1).</w:t>
      </w:r>
    </w:p>
    <w:p>
      <w:r>
        <w:rPr>
          <w:b/>
        </w:rPr>
        <w:t>E. 3.2</w:t>
      </w:r>
    </w:p>
    <w:p>
      <w:r>
        <w:t>En l’espèce, le premier juge a considéré que l'escroquerie constituait dans tous les cas un crime justifiant une expulsion obligatoire au sens de l'art. 66a al. 1 let. f. CP. Il a ensuite estimé que les conditions d'un cas de rigueur au sens de l'art. 66a al. 2 CP n'étaient pas réalisées (jgmt, p. 23-24). Compte tenu de la jurisprudence fédérale rappelée ci-dessus, cette appréciation ne peut toutefois être suivie. En effet, l’appelant relève, à raison, qu’il s’est rendu coupable d’escroquerie simple à l’encontre d’une entité privée. Il ne se trouve dès lors pas dans le cas où l’expulsion est obligatoire. On constate que le Ministère public n'avait d’ailleurs pas soutenu l'expulsion à l'audience de jugement et qu’il s’en est remis à justice aux débats d’appel. Cela étant, il convient d’examiner si l’expulsion facultative de l’appelant se justifie. En l’occurrence, ce dernier est arrivé en Suisse en 2012, soit à l’âge de plus de 30 ans. Il a certes déjà été condamné en septembre 2017 pour conduite en état d’ébriété à une peine pécuniaire avec sursis, en octobre 2019 pour avoir employé des étrangers sans autorisation à une peine pécuniaire et enfin en novembre 2019 pour délit à la LAVS à une peine pécuniaire avec sursis. On ne peut en déduire qu’il représente un danger pour la société. En outre, son intégration en Suisse n’est pas mauvaise puisqu’il a toujours travaillé et qu’il vit avec sa compagne et le fils de cette dernière depuis 2018. Enfin, il respecte les engagements pris aux termes de la convention qu’il a signée le 31 octobre 2023 avec W.________ en versant 1'000 fr. par mois à cet organisme depuis décembre 2023, ainsi que 200 fr. par mois à la Caisse cantonale de compensation AVS depuis janvier 2024. Compte tenu de ce qui précède, il convient de renoncer à l’expulsion de l’appelant, laquelle constitue une mesure disproportionnée au regard de son intégration sociale et professionnelle et de la gravité des faits qui lui sont reprochés.</w:t>
      </w:r>
    </w:p>
    <w:p>
      <w:r>
        <w:rPr>
          <w:b/>
        </w:rPr>
        <w:t>E. 4</w:t>
      </w:r>
    </w:p>
    <w:p>
      <w:r>
        <w:t>En définitive, l’appel doit être admis et le jugement réformé dans le sens des considérants. Obtenant gain de cause et assisté d’un défenseur de choix, l’appelant a droit à une indemnité pour les dépenses occasionnées par la procédure d’appel. La note d’honoraires produite aux débats d’appel fait état d’une activité d’avocat de 7h25 en 2023 et de 55 minutes en 2024 (P. 81), ce qui peut être admis. Au tarif horaire de 350 fr., l’indemnité allouée à F.________ sera dès lors fixée à 3’335 fr. 15, TVA et débours inclus. Elle sera laissée à la charge de l’Etat. Vu l’issue de la cause, les frais de la procédure d’appel, constitués de l’émolument d’audience et de jugement, par 1’720 fr. (art. 21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