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196 vom 25. November 2022</w:t>
      </w:r>
    </w:p>
    <w:p>
      <w:r>
        <w:t>VD Tribunal cantonal, 2022-11-25, FR</w:t>
      </w:r>
    </w:p>
    <w:p>
      <w:r>
        <w:rPr>
          <w:b/>
        </w:rPr>
        <w:t xml:space="preserve">Quelle: </w:t>
      </w:r>
      <w:r>
        <w:t>https://mcp.opencaselaw.ch/entscheid/vd_findinfo_Jug___2024___196</w:t>
      </w:r>
    </w:p>
    <w:p>
      <w:r>
        <w:t>FR: VD_FINDINFO Jug / 2024 / 196 du 25 novembre 2022</w:t>
      </w:r>
    </w:p>
    <w:p>
      <w:r>
        <w:t>IT: VD_FINDINFO Jug / 2024 / 196 del 25 novembre 2022</w:t>
      </w:r>
    </w:p>
    <w:p>
      <w:pPr>
        <w:pStyle w:val="Heading2"/>
      </w:pPr>
      <w:r>
        <w:t>Regeste</w:t>
      </w:r>
    </w:p>
    <w:p>
      <w:r>
        <w:t>REJET DE LA DEMANDE, RÉCUSATION | 56 let. b CPP (CH), 56 let. f CPP (CH)</w:t>
      </w:r>
    </w:p>
    <w:p>
      <w:pPr>
        <w:pStyle w:val="Heading2"/>
      </w:pPr>
      <w:r>
        <w:t>Erwägungen</w:t>
      </w:r>
    </w:p>
    <w:p>
      <w:r>
        <w:rPr>
          <w:b/>
        </w:rPr>
        <w:t>E. 1.1</w:t>
      </w:r>
    </w:p>
    <w:p>
      <w:r>
        <w:t>Aux termes de l'art. 59 al. 1 let. c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w:t>
      </w:r>
    </w:p>
    <w:p>
      <w:r>
        <w:rPr>
          <w:b/>
        </w:rPr>
        <w:t>E. 1.2</w:t>
      </w:r>
    </w:p>
    <w:p>
      <w:r>
        <w:t>. En l'espèce, la Cour d’appel pénale du Tribunal cantonal est compétente pour statuer sur la demande de récusation déposée par J.________ (art. 14 al. 1 LVCPP [loi vaudoise d’introduction du Code de procédure pénale suisse du 19 mai 2009 ; BLV 312.01]), dans la mesure où celle-ci est dirigée contre un membre de la juridiction d’appel.</w:t>
      </w:r>
    </w:p>
    <w:p>
      <w:r>
        <w:rPr>
          <w:b/>
        </w:rPr>
        <w:t>E. 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 TF 7B_266/2023 du</w:t>
      </w:r>
    </w:p>
    <w:p>
      <w:r>
        <w:rPr>
          <w:b/>
        </w:rPr>
        <w:t>E. 2.2</w:t>
      </w:r>
    </w:p>
    <w:p>
      <w:r>
        <w:t>La demande de récusation fait suite à l’avis du 10 avril 2024, notifié le lendemain (selon le suivi des envois de la Poste suisse), informant le recourant de la composition de la Cour et lui impartissant un délai au 25 avril 2024 pour faire valoir d’éventuelles réquisitions. Déposée dans ce délai, cette demande est recevable, dès lors qu’elle s’appuie sur l’éventuelle partialité du juge cantonal désigné en tant que juge unique. 3. Le recourant soutient qu’il existerait un doute raisonnable quant à l’impartialité du juge S.________, dans la mesure où celui-ci présidait déjà la cause lors de son premier examen. 3.1. 3.1.1 Selon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(ATF 143 IV 69 consid. 3.1). Le cas de récusation visé par cette disposition présuppose aussi que le magistrat en question ait agi à « un autre titre », soit dans des onctions différentes (TF 1B_362/2015 du</w:t>
      </w:r>
    </w:p>
    <w:p>
      <w:r>
        <w:rPr>
          <w:b/>
        </w:rPr>
        <w:t>E. 6</w:t>
      </w:r>
    </w:p>
    <w:p>
      <w:r>
        <w:t>décembre 2023 consid. 3.2).</w:t>
      </w:r>
    </w:p>
    <w:p>
      <w:r>
        <w:rPr>
          <w:b/>
        </w:rPr>
        <w:t>E. 10</w:t>
      </w:r>
    </w:p>
    <w:p>
      <w:r>
        <w:t>décembre 2015 consid. 3.2.1).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(TF 6B_621/2011 du 19 décembre 2011 consid. 2.3.2). La garantie du juge impartial ne commande pas non plus la récusation d'un juge au simple motif qu'il a, dans une procédure antérieure - voire dans la même affaire (TF 4A_151/2012 du 4 juin 2012 consid. 2.2) -, tranché en défaveur du requérant ( ATF 129 III 445 consid. 4.2.2.2 ; ATF 114 Ia 278 consid. 1). La jurisprudence considère en effet que le magistrat appelé à statuer à nouveau après l'annulation d'une de ses décisions est en général à même de tenir compte de l'avis exprimé par l'instance supérieure et de s'adapter aux injonctions qui lui sont faites (ATF 143 IV 69 consid. 3.1 ; ATF 138 IV 142 consid. 2.3 ; TF 7B_37/2023 du 16 novembre 2023 consid. 2.3.3 et les références citées). 3.1.2 Un magistrat est également récusable,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 ATF 138 IV 142 consid. 2.1 et les arrêts cités).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 ATF 141 IV 178 consid. 3.2.3 ; ATF 138 IV 142 consid. 2.3). 3.2 Dans son arrêt du 21 mars 2024, le Tribunal fédéral a réformé le jugement rendu le 10 juillet 2023 par la Cour d’appel pénale, présidée par le juge S.________, en ce sens qu’il a libéré le requérant du chef de prévention de contravention au règlement général de police de la commune d’Yverdon-les-Bains pour le motif que la disposition litigieuse contrevenait à la force dérogatoire du droit fédéral, qu’il a confirmé sa condamnation pour violation simple des règles de la circulation et conduite d’un véhicule sans être porteur du permis ou des autorisations requis et qu’il a réduit l’amende à 300 fr. (cf. consid. 4). Il a ainsi statué sur l’entier des éléments déterminants de la cause, tant sur le plan des faits que du droit, et s’est limité à renvoyer celle-ci à la Cour d’appel pénale pour qu’elle rende une nouvelle décision sur les frais et dépens cantonaux. De jurisprudence constante, le renvoi par le Tribunal fédéral à l’instance cantonale ne constitue pas un motif de récusation des juges qui ont rendu le jugement annulé. A fortiori , il ne l’est pas non plus pour un jugement réformé, le magistrat susmentionné n’étant pas appelé à trancher à nouveau la cause, mais uniquement à statuer sur les frais et dépens cantonaux. Le requérant ne fait valoir aucun élément objectif qui laisserait penser que le juge S.________ ne serait pas à même de tenir compte de la décision rendue par l’instance supérieure. 4. En définitive, l’élément allégué par J.________ n’est pas de nature à établir une apparence de prévention à son égard. La demande de récusation est ainsi manifestement mal fondée et doit par conséquent être rejetée, sans échange d’écritures (art. 390 al. 2 CPP). Les frais de procédure, par 770 fr. (art. 21 al. 1 TFIP [tarif des frais de procédure et indemnités en matière pénale du 28 septembre 2010 ; BLV 312.03.1] par renvoi de l’art. 22 TFIP), seront mis à la charge de J.________, qui succombe (art. 59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