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187 vom 31. März 2023</w:t>
      </w:r>
    </w:p>
    <w:p>
      <w:r>
        <w:t>VD Tribunal cantonal, 2023-03-31, FR</w:t>
      </w:r>
    </w:p>
    <w:p>
      <w:r>
        <w:rPr>
          <w:b/>
        </w:rPr>
        <w:t xml:space="preserve">Quelle: </w:t>
      </w:r>
      <w:r>
        <w:t>https://mcp.opencaselaw.ch/entscheid/vd_findinfo_Jug___2024___187</w:t>
      </w:r>
    </w:p>
    <w:p>
      <w:r>
        <w:t>FR: VD_FINDINFO Jug / 2024 / 187 du 31 mars 2023</w:t>
      </w:r>
    </w:p>
    <w:p>
      <w:r>
        <w:t>IT: VD_FINDINFO Jug / 2024 / 187 del 31 marzo 2023</w:t>
      </w:r>
    </w:p>
    <w:p>
      <w:pPr>
        <w:pStyle w:val="Heading2"/>
      </w:pPr>
      <w:r>
        <w:t>Regeste</w:t>
      </w:r>
    </w:p>
    <w:p>
      <w:r>
        <w:t>DÉCISION DE RENVOI, DÉCISION SUR FRAIS, DÉPENS | 428 al. 1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w:t>
      </w:r>
    </w:p>
    <w:p>
      <w:r>
        <w:rPr>
          <w:b/>
        </w:rPr>
        <w:t>E. 2.1</w:t>
      </w:r>
    </w:p>
    <w:p>
      <w:r>
        <w:t>Dans son arrêt du 2 avril 2024, le Tribunal fédéral a considéré que les conditions relatives au maintien de J.________ en détention pour des motifs de sûreté n’étaient pas réalisées (cf. consid. 4.5). Par conséquent, le Tribunal fédéral a admis le recours déposé par J.________, a annulé le prononcé attaqué et a ordonné sa libération immédiate, à charge pour le Président de la Cour d'appel pénale du Tribunal cantonal vaudois d'organiser sans délai les modalités de celle-ci. La cause a été au surplus renvoyée à l'autorité précédente pour nouvelle décision sur les frais et dépens (consid. 5).</w:t>
      </w:r>
    </w:p>
    <w:p>
      <w:r>
        <w:rPr>
          <w:b/>
        </w:rPr>
        <w:t>E. 2.2</w:t>
      </w:r>
    </w:p>
    <w:p>
      <w:r>
        <w:t>Au vu de l’admission de la demande de mise en liberté immédiate du 30 janvier 2024 de J.________, les frais du présent prononcé, par 450 fr., ainsi que les frais du prononcé rendu le 1 er février 2024, par 1'320 fr., (art. 20 al. 1 TFIP [Tarif des frais de procédure et indemnités en matière pénale du 28 septembre 2010 ; BLV 312.03.1]), seront laissés à la charge de l’Etat (art. 428 al. 1 CPP). J.________, qui a procédé avec l’assistance d’un avocat de choix et qui a obtenu gain de cause, a droit à une indemnité pour les dépenses occasionnées par la procédure (art. 429 al. 1 let. a CPP, applicable par renvoi de l’art. 436 al. 1 CPP), à la charge de l’Etat. L’indemnité sera fixée compte tenu d’une heure d'activité nécessaire d’avocat au tarif horaire de 300 fr. (cf. art. 26a al. 3 TFIP [tarif des frais de procédure et indemnités en matière pénale du 28 septembre 2010 ; BLV 312.03.1]), soit à 300 fr., montant auquel il convient d’ajouter des débours forfaitaires à concurrence de 2 % des honoraires admis (art. 19 al. 2 TDC [tarif des dépens en matière civile du 23 novembre 2010 ; BLV 270.11.6], applicable par renvoi de l’art. 26a al. 6 TFIP), par 6 fr., plus la TVA au taux de 8,1 %, par 24 fr. 80, soit à 331 fr. au total en chiffres arrondis.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