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183 vom 10. Januar 2024</w:t>
      </w:r>
    </w:p>
    <w:p>
      <w:r>
        <w:t>VD Tribunal cantonal, 2024-01-10, FR</w:t>
      </w:r>
    </w:p>
    <w:p>
      <w:r>
        <w:rPr>
          <w:b/>
        </w:rPr>
        <w:t xml:space="preserve">Quelle: </w:t>
      </w:r>
      <w:r>
        <w:t>https://mcp.opencaselaw.ch/entscheid/vd_findinfo_Jug___2024___183</w:t>
      </w:r>
    </w:p>
    <w:p>
      <w:r>
        <w:t>FR: VD_FINDINFO Jug / 2024 / 183 du 10 janvier 2024</w:t>
      </w:r>
    </w:p>
    <w:p>
      <w:r>
        <w:t>IT: VD_FINDINFO Jug / 2024 / 183 del 10 gennaio 2024</w:t>
      </w:r>
    </w:p>
    <w:p>
      <w:pPr>
        <w:pStyle w:val="Heading2"/>
      </w:pPr>
      <w:r>
        <w:t>Regeste</w:t>
      </w:r>
    </w:p>
    <w:p>
      <w:r>
        <w:t>DISPOSITIONS PÉNALES DE LA LCR, AMENDE | 90 al. 1 LCR, 96 OCR</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rPr>
          <w:b/>
        </w:rPr>
        <w:t>E. 1.3</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2.1</w:t>
      </w:r>
    </w:p>
    <w:p>
      <w:r>
        <w:t>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Les règles de la circulation sont des prescriptions de sécurité destinées à prévenir les accidents. Aux termes de l'art. 90 al. 1 LCR (loi fédérale sur la circulation routière du 19 décembre 1958 ; RS 731.01), celui qui viole les règles de la circulation prévues par la présente loi ou par les dispositions d'exécution émanant du Conseil fédéral se rend coupable de violation simple des règles de la circulation routière. L'art. 90 al. 1 LCR réprime donc une infraction de mise en danger abstraite, sans égard au résultat concret de ces violations (ATF 92 IV 33 consid. 1). Par ailleurs, il n'existe aucune compensation des fautes en droit pénal (ATF 85 IV 91), chacun étant puni pour celles qu'il a commises (ATF 105 IV 213). Il y a lieu de rappeler également que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(TF 6B_335/2016 du 27 août 2015 consid. 1.4.2; cf. ATF 92 IV 138 consid. 1 p. 140 ; TF 6S.224/2003 du 3 janvier 2004 consid. 2; cf. aussi TF 6B_783/2008 du 4 décembre 2008 consid. 3.3; Bussy/Rusconi/Jeanneret/Kuhn/Mizel/Müller, Code suisse de la circulation routière commenté, 4 e éd. 2015, rem. 3.1.2 ad art. 36 LCR).</w:t>
      </w:r>
    </w:p>
    <w:p>
      <w:r>
        <w:rPr>
          <w:b/>
        </w:rPr>
        <w:t>E. 2.2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2.3</w:t>
      </w:r>
    </w:p>
    <w:p>
      <w:r>
        <w:t>En l'occurrence, c'est en vain que l'appelant invoque l'arbitraire dans l'appréciation des preuves effectuées par le premier juge, alors qu'en réalité il ne fait qu'opposer sa propre version des faits en rediscutant librement les preuves, ce qu'il ne peut pas faire dans le cadre de l'appel restreint sens de l'art. 398 al. 4 CPP. En effet, contrairement à ce qu'il soutient, le jugement entrepris ne retient pas que la conductrice J.________ avait " au moment des faits " enclenché ses feux de croisement, mais retient au contraire, comme le prétend l'appelant, que " le véhicule [...] a enclenché ses grands phares pour signaler sa manœuvre " (jugement entrepris, p. 13). Il est également erroné de soutenir que le jugement ne constate pas que l'appelant a ralenti afin d'apprécier la situation puisque le jugement entrepris indique que " L'opposant a ralenti pour apprécier la situation " (jugement attaqué p. 12). Par ailleurs, le jugement ne contredit pas l'appelant sur le fait que l'éclairage de la remorque n'était pas visible. En définitive, l'établissement des faits fait par le premier juge échappe à la critique et ne relève pas de l'arbitraire.</w:t>
      </w:r>
    </w:p>
    <w:p>
      <w:r>
        <w:rPr>
          <w:b/>
        </w:rPr>
        <w:t>E. 3.1</w:t>
      </w:r>
    </w:p>
    <w:p>
      <w:r>
        <w:t>et références citées ; TF 6B_1006/2016 du 24 juillet 2017 consid. 2.1).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w:t>
      </w:r>
    </w:p>
    <w:p>
      <w:r>
        <w:rPr>
          <w:b/>
        </w:rPr>
        <w:t>E. 3.2</w:t>
      </w:r>
    </w:p>
    <w:p>
      <w:r>
        <w:t>Aux termes de l'art. 31 al. 1 LCR, le conducteur devra rester constamment maître de son véhicule, de façon à pouvoir se conformer aux devoirs de la prudence. Le conducteur doit ainsi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(cf. TF 1C_361/2014 du 26 janvier 2015 consid. 3.1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cf. également TF 1C_361/2014 du 26 janvier 2015 consid.</w:t>
      </w:r>
    </w:p>
    <w:p>
      <w:r>
        <w:rPr>
          <w:b/>
        </w:rPr>
        <w:t>E. 3.3</w:t>
      </w:r>
    </w:p>
    <w:p>
      <w:r>
        <w:t>En l'occurrence, sur la base de l'état de fait tel que confirmé ci-dessus, on constate que B.________ a vu le véhicule de J.________ au loin et que celui-ci avait les feux de croisement enclenchés. Il a ralenti pour apprécier la situation. Ayant observé que le véhicule arrivant en sens inverse avait ralenti, J.________ en a déduit qu'il l'avait vue et a continué sa manœuvre, amenant ainsi sa remorque, non-éclairée, sur la voie de circulation de l'appelant. Constatant que celui-ci approchait rapidement, elle a enclenché ses grands phares dans le but de signaler sa manœuvre. B.________ a ainsi été ébloui et ce n'est qu'en dépassant l'angle d'éblouissement des grands phares qu'il a aperçu ladite remorque en travers de la route mais n'a pas pu l'éviter. En droit pénal, il n'existe pas de compensation des fautes (cf. consid. 3.2 supra), de sorte qu'à supposer même, comme le soutient l'appelant, que J.________ aurait également commis une infraction à la loi fédérale sur la circulation routière, cela ne changerait rien au sort de la cause. En outre, la manœuvre de recul effectuée par J.________, de même que la présence d'un obstacle sur la route, ne constituent pas des circonstances absolument imprévisibles exonérant l'appelant de toute responsabilité. Cela étant posé, il faut admettre qu'en décidant de continuer sa route après avoir ralenti, B.________ a fait une mauvaise interprétation de la situation. En effet, comme relevé par le premier juge, s'il avait fixé le véhicule de J.________, malgré les grands phares enclenchés, il aurait pu remarquer que celui-ci était immobilisé, puis en train d'effectuer une manœuvre lente. Il aurait dû percevoir les risques inhérents à cette situation, ralentir davantage et redoubler de prudence afin de pouvoir s'arrêter à temps pour éviter la collision. Cette mauvaise appréciation des circonstances a pour conséquence que B.________ s'est rendu coupable de contravention à l'art. 90 al. 1 LCR pour avoir enfreint les articles 31 al. 1 LCR et 96 OCR pour avoir enfreint l'article 3 al. 1 OCR. L'appréciation du droit faite par le premier juge ne prête pas le flanc à la critique et doit être confirmée.</w:t>
      </w:r>
    </w:p>
    <w:p>
      <w:r>
        <w:rPr>
          <w:b/>
        </w:rPr>
        <w:t>E. 4</w:t>
      </w:r>
    </w:p>
    <w:p>
      <w:r>
        <w:t>L’appelant, qui conclut à son acquittement, ne conteste pas l’amende en tant que telle. Vérifiée d’office, l’amende de 400 fr. infligée par le premier juge, fixée en application des critères légaux à charge et à décharge, et conformément à la culpabilité et à la situation personnelle de B.________, sanctionne adéquatement le comportement fautif du prévenu. L’amende de 400 fr. doit donc être confirmée, de même que la peine privative de liberté de substitution de 4 jours en cas de non-paiement fautif.</w:t>
      </w:r>
    </w:p>
    <w:p>
      <w:r>
        <w:rPr>
          <w:b/>
        </w:rPr>
        <w:t>E. 5</w:t>
      </w:r>
    </w:p>
    <w:p>
      <w:r>
        <w:t>Au vu de ce qui précède, l’appel interjeté par B.________ doit être rejeté et le jugement entrepris confirmé. Vu le sort de l’appel, la conclusion de B.________ tendant à l’allocation d’une indemnité à la forme de l’art. 429 CPP sera rejetée. Les frais d'appel, constitués du seul émolument de jugement, par 990 fr. (art. 21 al. 1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