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182 vom 6. Juli 2022</w:t>
      </w:r>
    </w:p>
    <w:p>
      <w:r>
        <w:t>VD Tribunal cantonal, 2022-07-06, FR</w:t>
      </w:r>
    </w:p>
    <w:p>
      <w:r>
        <w:rPr>
          <w:b/>
        </w:rPr>
        <w:t xml:space="preserve">Quelle: </w:t>
      </w:r>
      <w:r>
        <w:t>https://mcp.opencaselaw.ch/entscheid/vd_findinfo_Jug___2024___182</w:t>
      </w:r>
    </w:p>
    <w:p>
      <w:r>
        <w:t>FR: VD_FINDINFO Jug / 2024 / 182 du 6 juillet 2022</w:t>
      </w:r>
    </w:p>
    <w:p>
      <w:r>
        <w:t>IT: VD_FINDINFO Jug / 2024 / 182 del 6 luglio 2022</w:t>
      </w:r>
    </w:p>
    <w:p>
      <w:pPr>
        <w:pStyle w:val="Heading2"/>
      </w:pPr>
      <w:r>
        <w:t>Regeste</w:t>
      </w:r>
    </w:p>
    <w:p>
      <w:r>
        <w:t>RÉVISION{DÉCISION}, DÉCISION D'IRRECEVABILITÉ, E-MAIL, FORME ÉCRITE, NOUVEAU MOYEN DE FAIT | 110 CPP (CH), 410 al. 1 let. a CPP (CH)</w:t>
      </w:r>
    </w:p>
    <w:p>
      <w:pPr>
        <w:pStyle w:val="Heading2"/>
      </w:pPr>
      <w:r>
        <w:t>Erwägungen</w:t>
      </w:r>
    </w:p>
    <w:p>
      <w:r>
        <w:rPr>
          <w:b/>
        </w:rPr>
        <w:t>E. 1.1</w:t>
      </w:r>
    </w:p>
    <w:p>
      <w:r>
        <w:t>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La demande de révision visée à l'art. 410 al. 1 let. a CPP n'est soumise à aucun délai (al. 2).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w:t>
      </w:r>
    </w:p>
    <w:p>
      <w:r>
        <w:rPr>
          <w:b/>
        </w:rPr>
        <w:t>E. 1.2</w:t>
      </w:r>
    </w:p>
    <w:p>
      <w:r>
        <w:t>Aux termes de l’art. 411 CPP, les demandes de révision doivent être motivées et adressées par écrit à la juridiction d’appel. Les motifs de révision doivent être exposés et justifiés dans la demande (al. 1). Selon l’art. 110 CPP, les requêtes écrites déposées doivent être datées et signées (al. 1). La transmission des requêtes et des recours et des annexes peut se faire par voie électronique, mais à certaines conditions de forme prévues à l'art. 110 al. 2 CPP ainsi que par l'ordonnance sur la communication électronique dans le cadre de procédures civiles et pénales de procédures en matière de poursuite pour dettes et faillites (OCEI-PCPP ; RS 272.1). Un courrier électronique ne répond pas aux exigences de forme posées aux art. 110 al. 1 et 2 CPP s'il n'est pas muni d'une signature manuscrite ou d'une signature électronique certifiée (TF 1B_456/2020 du 8 octobre 2020 consid. 2).</w:t>
      </w:r>
    </w:p>
    <w:p>
      <w:r>
        <w:rPr>
          <w:b/>
        </w:rPr>
        <w:t>E. 2</w:t>
      </w:r>
    </w:p>
    <w:p>
      <w:r>
        <w:t>La demande de révision adressée par E.________ le 15 avril 2024 par simple courrier électronique ne satisfait pas à l’exigence de la forme écrite imposée par l’art. 411 al. 1 CPP, de sorte qu’elle est irrecevable pour ce motif déjà. En outre, la demande de révision ne remplit pas les conditions de l’art. 410 al. 1 let. a CPP. Le requérant fait uniquement valoir que son « ex-épouse », qui l’a accusé de viol, s’est rendue dernièrement au Portugal pour signer en sa présence un acte de vente concernant l’appartement dont ils étaient propriétaires, ce qui démontrerait qu’elle n’a pas peur de lui et que les accusations qu’elle a portées à son encontre seraient mensongères. Le comportement de la victime, plusieurs années après les faits qu’elle a dénoncés et de nombreux mois après le jugement qui a prononcé la condamnation du requérant, ne constitue à l’évidence pas « des faits nouveaux antérieurs » susceptibles d’ouvrir la voie de la révision. Ainsi, les faits qui surviennent postérieurement au jugement sont en principe exclus du champ d’application de l’art. 410 al. 1 let. a CPP (Moreillon/Parein-Reymond, Petit commentaire du Code de procédure pénale, 2e éd., Bâle 2016, n. 16 ad art. 410 CPP et les références citées). Contrairement à ce qu’il soutient, les faits dont le requérant souhaite se prévaloir sont dépourvus de toute pertinence, l’attitude adoptée par la victime pour régler les problématiques patrimoniales qui les concernent étant sans rapport aucun avec les faits pour lesquels il a été condamné et les circonstances dans lesquelles ils ont eu lieu. Au vu de ce qui précède, il n’y a pas lieu d’entrer en matière sur la demande de révision, celle-ci étant manifestement irrecevable.</w:t>
      </w:r>
    </w:p>
    <w:p>
      <w:r>
        <w:rPr>
          <w:b/>
        </w:rPr>
        <w:t>E. 3</w:t>
      </w:r>
    </w:p>
    <w:p>
      <w:r>
        <w:t>En définitive, la demande de révision doit être déclarée irrecevable. Vu l’issue de la cause, les frais de la procédure de révision, par 550 fr. (art. 21 al. 1 TFIP [tarif des frais de procédure et indemnités en matière pénale du 28 septembre 2010 ; BLV 312.03.1] par renvoi de l’art. 22 TFIP),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