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167 vom 14. Juni 2023</w:t>
      </w:r>
    </w:p>
    <w:p>
      <w:r>
        <w:t>VD Tribunal cantonal, 2023-06-14, FR</w:t>
      </w:r>
    </w:p>
    <w:p>
      <w:r>
        <w:rPr>
          <w:b/>
        </w:rPr>
        <w:t xml:space="preserve">Quelle: </w:t>
      </w:r>
      <w:r>
        <w:t>https://mcp.opencaselaw.ch/entscheid/vd_findinfo_Jug___2024___167</w:t>
      </w:r>
    </w:p>
    <w:p>
      <w:r>
        <w:t>FR: VD_FINDINFO Jug / 2024 / 167 du 14 juin 2023</w:t>
      </w:r>
    </w:p>
    <w:p>
      <w:r>
        <w:t>IT: VD_FINDINFO Jug / 2024 / 167 del 14 giugno 2023</w:t>
      </w:r>
    </w:p>
    <w:p>
      <w:pPr>
        <w:pStyle w:val="Heading2"/>
      </w:pPr>
      <w:r>
        <w:t>Regeste</w:t>
      </w:r>
    </w:p>
    <w:p>
      <w:r>
        <w:t>PREUVE LIBÉRATOIRE, INDEMNITÉ{EN GÉNÉRAL}, DIFFAMATION, DROIT D'ÊTRE ENTENDU | 173 ch. 1 CP, 173 ch. 2 CP, 173 ch. 3 CP, 433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R.________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3.1</w:t>
      </w:r>
    </w:p>
    <w:p>
      <w:r>
        <w:t>L'appelant ne conteste pas les faits. Il fait valoir une mauvaise application du droit. Dans un premier moyen, il explique que ce serait à tort que le Tribunal de police a retenu que les tiers auxquels il s'était adressé ne pouvaient pas être considérés comme des confidents nécessaires au vu de la relation que ces personnes entretenaient avec lui au moment des faits. Il rappelle le contexte conflictuel qui l'opposait à A.I.________, le fait que la garde alternée sur ses enfants lui avait été retirée et son droit de visite suspendu. Il soutient qu’il s’est adressé à des intervenants qui étaient tous soumis au secret médical et/ou de fonction et qui seraient « habitués à ce genre de situation », où une « certaine passion » serait de mise et où certaines paroles pourraient « dépasser la pensée ». Il conteste ensuite que les termes utilisés constituent des atteintes objectives à l’honneur et reproche au premier juge de ne pas avoir tenu compte du contexte dans lequel il les a tenus. Il fait valoir qu'il aurait ressenti un profond sentiment d'injustice et qu’il n’aurait fait que se défendre face à des accusations mensongères. L’appelant fait valoir ensuite que les propos qu’il a tenus seraient conformes à la vérité et/ou qu’il aurait eu des raisons sérieuses de les tenir de bonne foi pour vrais. S’agissant de Me B.________, il rappelle que c’est à la suite de la requête qu’elle a déposée le 3 avril 2020 que la garde alternée sur ses enfants lui a été retirée et son droit de visite suspendu. Il soutient que cette requête l’aurait dépeint comme une personne méprisable, dans des termes jamais nuancés, qu’il aurait été accusé à tort de violences et qu’il se serait senti attaqué personnellement. Me B.________ aurait en outre produit une photographie de son fils avec des hématomes laissant penser qu’elle était en lien avec un rapport du CHUV alors qu’il n’en était rien. Compte tenu de cette manière de procéder tout au long de la procédure, ce serait de bonne foi que l’appelant a considéré que Me B.________ avait menti et pratiqué l’escroquerie à la procédure et l’induction de la justice en erreur. Tout ce dont il avait été accusé aurait été faux, raison pour laquelle il avait déposé plainte contre elle. S’agissant de A.I.________, l'appelant rappelle qu’il avait fait l'objet d'une plainte pénale pour voies de fait et violation du devoir d'assistance ou d'éducation et que cette plainte a été classée ensuite du rapport de police indiquant que les résultats des investigations avaient démenti plusieurs des éléments apportés par A.I.________ (P. 4). Il ressortirait clairement de ce rapport que cette dernière avait menti, que l’appelant n’avait rien fait et que ses enfants lui avaient été enlevés injustement du jour au lendemain. Innocent des faits de violence dont on l'accusait, il ne pouvait pas s'être rendu coupable de diffamation en déclarant que A.I.________ avait ourdi une machination pour le faire passer pour « un type diabolique ». L'issue de la procédure civile, par laquelle il avait obtenu la restitution du statu quo ante , à savoir la garde alternée, corroborerait sa version. Il aurait eu des raisons sérieuses de penser que A.I.________ manipulait leurs enfants qui, selon les expertises au dossier, étaient pris dans un important conflit de loyauté. Il n'y aurait en outre rien de diffamatoire dans le fait de dire que A.I.________ souffrait de graves troubles psychologiques dès lors qu'il était fondé à le penser et qu'elle avait été invitée à reprendre un suivi thérapeutique. Il faudrait en sus constater que A.I.________ avait également tenu des propos diffamants auprès du Dr Z.________ et que l'entier de sa requête du 3 avril 2020 pouvait être considérée comme calomnieuse. Enfin, l’appelant affirme qu’il n’aurait pas agi pour dire du mal d’autrui mais pour rétablir une vérité et une situation qui était injuste. Son combat aurait été uniquement de récupérer la garde sur ses enfants.</w:t>
      </w:r>
    </w:p>
    <w:p>
      <w:r>
        <w:rPr>
          <w:b/>
        </w:rPr>
        <w:t>E. 3.2.1</w:t>
      </w:r>
    </w:p>
    <w:p>
      <w:r>
        <w:t>Aux termes de l'art. 173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L'inculpé n'encourra aucune peine s'il prouve que les allégations qu'il a articulées ou propagées sont conformes à la vérité ou qu'il a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références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 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(Rieben/Mazou, in : Macaluso/Moreillon/Quéloz [éd.], Commentaire romand, Code pénal II, 2 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ATF 132 IV 112 consid. 3.1TF 6B_1268/2019 du 15 janvier 2020 consid. 1.2).</w:t>
      </w:r>
    </w:p>
    <w:p>
      <w:r>
        <w:rPr>
          <w:b/>
        </w:rPr>
        <w:t>E. 3.2.2</w:t>
      </w:r>
    </w:p>
    <w:p>
      <w:r>
        <w:t>Pour qu'il y ait diffamation ou calomnie, il faut que l'auteur s'adresse à un tiers. Est en principe considérée comme tiers toute personne autre que l'auteur et l'objet des propos qui portent atteinte à l'honneur (ATF 145 IV 462 consid. 4.3.3 ; ATF 86 IV 209 ; TF 6B_512/2017 du 12 février 2018 consid. 3.3.1). La majorité de la doctrine a critiqué cette jurisprudence, la jugeant trop large. Martin Schubarth (Delikte gegen die Ehre [...], Kommentar zum schweizerischen Strafrecht, partie spéciale, vol. III, 1984, nos 34 ss ad art. 173 CP) a tout d'abord estimé que les propos exprimés à des proches ou dans un cercle amical ne devraient pas être sanctionnés à la lumière de l'art. 173 ou 177 CP à condition que la personne qui les profère puisse compter que la confidentialité sera respectée par ceux qui reçoivent ses allégations. Cet auteur justifie ce point de vue en invoquant qu'une personne doit pouvoir disposer d'un espace de parole où exprimer son mécontentement. De plus, dans une telle configuration, le danger d'atteinte à la réputation semble minime, de sorte qu'une protection par des dispositions pénales n'apparaît pas nécessaire. Cette solution vaut également selon cet auteur pour les propos communiqués à des personnes de confiance, comme les prêtres, médecins et avocats, pour peu que ces propos servent à épancher l'âme et non à être utilisés plus tard dans des écritures. Dans ce dernier cas, l'élément objectif peut être considéré comme réalisé et seul reste à disposition la preuve libératoire. Ce raisonnement est partagé par plusieurs auteurs (José Hurtado Pozo, Droit pénal, partie spéciale, 2 e éd. 2009, nos 2039 s. ad art. 173 CP, qui estime toutefois que l'avocat ne peut être exclu du cercle des tiers, dès lors qu'il a l'obligation d'utiliser, dans le cadre de son mandat, du moins partiellement, les confidences de son client ; Peter Noll, Schweizerisches Strafrecht, Besonderer Teil I, 1983, p. 113, de manière générale et sans réflexion précise sur les avocats ; Trechsel/Lieber, in Schweizerisches Strafgesetzbuch, Praxiskommentar, 3 e éd. 2018, n° 4 ad art. 173 CP). Par ailleurs, certains auteurs considèrent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(Franz Riklin, in Basler Kommentar, Strafrecht, vol. Il, 4 e éd. 2019, n° 6 ad art. 173 CP ; Stratenwerth/Jenny/Bommer, in Schweizerisches Strafrecht, Besonderer Teil I, 7 e éd. 2010, § 11 n. 25). Andreas Donatsch (Delikte gegen den Einzelnen, Strafrecht, vol. III, 11 e éd. 2018, p. 399) estime quant à lui, sans toutefois le motiver, trop large la notion de tiers de la jurisprudence. Dans un arrêt non publié du 11 juillet 1957 (cité dans l'ATF 86 IV 209), le Tribunal fédéral a examiné, sans la trancher, la question de savoir s'il n'y avait pas lieu d'exclure du cercle des tiers les confidents nécessaires. Il a admis qu'il ne se justifie pas de déroger à la règle en déniant à l'avocat la qualité de tiers par rapport à son client. L'ATF 86 IV 209 précité reprend cette jurisprudence en la justifiant par le fait que les intérêts du client n'exigent pas que la qualité de tiers soit déniée à son avocat. Le Tribunal fédéral admet certes qu'il convient de laisser au client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Dans un arrêt 6S.608/1991 du 24 janvier 1992, le Tribunal fédéral a, en corrélation avec l'art. 321 CP concernant la violation du secret professionnel, considéré toutefois un médecin comme un confident nécessaire et a admis qu'il n'était pas un tiers au sens de l'art. 173 ch. 1 CP. Dans un arrêt postérieur, le Tribunal fédéral a laissé ouverte la question de savoir si s'agissant de l'avocat, sa qualité de personne de confiance ne devait pas impliquer qu'il ne soit pas considéré, selon les circonstances, comme un tiers au sens de l'art. 173 CP. En effet, dans les circonstances du cas d'espèce, le recourant ne pouvait compter sur le fait que les informations données à son avocat seraient gardées confidentielles par ce dernier et ne seraient pas utilisées par lui dans sa stratégie de défense. Il ne pouvait non plus être sérieusement mis en doute que le courrier contenant des propos attentatoires à l'honneur, envoyé par l'avocat à la partie adverse, l'avait été avec l'accord du recourant. Dans ces circonstances, l'avocat devait être qualifié de tiers au sens de l'art. 173 CP (TF 6S.171/2003 du 10 septembre 2003 consid. 1.3). Dans un arrêt plus récent, le Tribunal fédéral a examiné la qualité de tiers d'un avocat dont le client lui avait envoyé en copie un courriel portant atteinte à l'honneur du plaignant, adressé à celui-ci. Au vu des circonstances particulières du cas, le Tribunal fédéral avait nié à l'avocat la qualité de « confident nécessaire » : quand bien même celui-ci entretenait avec le prévenu une relation particulière fondée sur la confiance, rien n'indiquait que la nature des propos tenus avait objectivement un lien avec les affaires qui justifiaient son intervention à titre d'avocat. Le prévenu s'était en effet, en portant à la connaissance de son avocat le conflit strictement personnel qui l'opposait à la partie plaignante, écarté du cadre dans lequel il aurait été exceptionnellement possible d'admettre l'existence d'une situation de « confident nécessaire » (TF 6B_229/2016 du 8 juin 2016 consid. 1.3). Depuis cet arrêt, le Tribunal fédéral a certes relevé qu'une majorité de la doctrine estimait que le cercle des personnes considérées comme tiers devait être limité (TF 6B_512/2017 du 12 février 2018 consid. 3.3.1). Reste qu'il n'a pas à ce jour modifié sa jurisprudence publiée en la matière, confirmant encore la position de principe de tiers de l'avocat dans les arrêts 6B_974/2018 du 20 décembre 2018 consid. 2.3.1, 6B_318/2016 du 13 octobre 2016 consid. 3.8.2 et 6B 491/2013 du 4 février 2014 consid. 5.2. En définitive, sans exclure que la notion de confident nécessaire puisse être prise en considération dans certains cas particuliers, la notion de tiers au sens de toute personne autre que l'auteur et l'objet des propos qui portent atteinte à l'honneur prévaut largement dans la jurisprudence du Tribunal fédéral, qui l'a confirmé très récemment (ATF 145 IV 462).</w:t>
      </w:r>
    </w:p>
    <w:p>
      <w:r>
        <w:rPr>
          <w:b/>
        </w:rPr>
        <w:t>E. 3.3</w:t>
      </w:r>
    </w:p>
    <w:p>
      <w:r>
        <w:t>Au vu des principes exposés ci-dessus, l'appelant ne saurait se prévaloir de la notion de « confident nécessaire » telle que développée par la jurisprudence. Les propos qui lui sont reprochés ont été tenus devant des policiers ainsi que dans des courriels adressés à trois intervenants du Centre de consultation des Boréales et à un assistant social de la DGEJ. Si l'on peut très éventuellement envisager une relation thérapeutique avec les collaborateurs des Boréales, qui impliquait que le prévenu puisse se livrer librement et considérer que ceux-ci seraient tenus au secret, tel n'est bien évidemment pas le cas du représentant de la DGEJ, qui allait assurément intervenir à ce titre dans la procédure et ne pouvait pas être considéré comme un confident. Il en va de même des policiers qui ont recueilli la déposition du prévenu destinée à être versée au dossier. Mal fondé, le moyen doit être rejeté. Dire d'une avocate qu’elle pratique « l'escroquerie de la procédure et l'induction de la justice en erreur de manière systématique », c'est l'accuser de commettre une infraction pénale. Une telle affirmation est extrêmement attentatoire s'agissant d'une avocate, dès lors qu’elle porte indubitablement atteinte à sa probité professionnelle. Quant aux propos tenus à l’encontre de A.I.________, ils tendent à la faire apparaître comme une mère manipulatrice, maltraitante et vile. Ils sont incontestablement de nature à porter atteinte à son honneur. Se prévalant des preuves libératoires prévues par l’art. 173 ch. 2 CP, l'appelant affirme que ses propos sont vrais et/ou qu’il avait des raisons sérieuses de les tenir de bonne foi pour vrais. Ces moyens doivent également être écartés. En effet, d’une part, les éléments qu’il invoque ne sont pas propres à démontrer la véracité des accusations qu’il a portées à l’encontre des plaignantes ni sa bonne foi. D’autre part et surtout, au regard des termes outranciers qu’il a choisi d’utiliser, il faut retenir que ces accusations ont été articulées sans motif suffisant, le but poursuivi par le prévenu étant principalement de dire du mal des plaignantes et de les discréditer. Comme l’a indiqué son propre défenseur aux débats d’appel, le prévenu était animé d’une haine contre toutes les personnes qui avaient, selon lui, contribué au retrait de son droit de garde sur ses enfants. Les propos qu’il a tenus à l’époque des faits à l’encontre de la Dre X.________, à qui il reproche d’avoir agi « comme un officier nazi » dans un courriel qu’il a adressé le 24 septembre 2020 en copie à U.________, D.________ et W.________ (P. 10/1), illustrent cet état d’esprit et l’incapacité du prévenu à se contenir et à mesurer ses propos. Ce n’est pas dans le but de « rétablir une vérité » et une situation vécue comme injuste comme il le soutient que le prévenu a agi, mais mû par la haine et dans l’intention évidente de dire du mal des intimées, tant les propos qu’il a tenus apparaissent exagérés. Dans ces circonstances, il ne peut pas être admis à faire la preuve de la vérité ni la preuve de la bonne foi (art. 173 ch. 3 CP). Le contexte conflictuel dont se prévaut le prévenu, le sentiment d'injustice et l'attaque qu'il dit avoir ressentis ne lui permettent pas de se disculper. Ces éléments peuvent tout au plus être pris en compte dans le cadre de l’appréciation de sa peine. En définitive, les moyens soulevés par l’appelant sont mal fondés et sa condamnation pour diffamation doit être confirmée.</w:t>
      </w:r>
    </w:p>
    <w:p>
      <w:r>
        <w:rPr>
          <w:b/>
        </w:rPr>
        <w:t>E. 4</w:t>
      </w:r>
    </w:p>
    <w:p>
      <w:r>
        <w:t>L'appelant, qui conclut à sa libération, ne conteste pas la manière dont le premier juge a évalué sa culpabilité. La peine qui lui a été infligée doit néanmoins être revue d’office. Le premier juge a retenu que la culpabilité du prévenu était importante. Il s'en était pris de manière virulente à l'honneur de la mère de ses enfants et du conseil de celle-ci, employant à leur égard des termes inacceptables. Sous réserve de l'expression « militante de la castration chimique des hommes », il ne s’était pas rétracté mais avait au contraire continué à tenir des propos attentatoires à l'honneur des plaignantes, après ceux retenus dans l'acte d'accusation. Sa prise de conscience paraissait nulle et il ne pouvait pas invoquer avoir agi sous le coup d'une vive émotion provoquée par la suspension de son droit aux relations personnelles avec ses enfants puisqu’un droit de visite d'un week-end sur deux lui avait été accordé le 1 er juillet 2020. Cette appréciation ne prête pas le flanc à la critique. On relèvera qu’aux débats d’appel, le prévenu a persévéré dans son attitude, affirmant que les propos qu’il avaient tenus à l’encontre de A.I.________ étaient « largement sous-estimés », qu’ils étaient « en dessous de la vérité » et qu’il ne les regrettait pas. La prise de conscience de l’appelant apparaît effectivement inexistante. A sa décharge, on peut tenir compte du contexte hautement conflictuel qu’il invoque et du sentiment d'injustice qu’il a ressenti. Cela ne justifie toutefois pas de réduire la peine pécuniaire fixée par le premier juge à 40 jours-amende à 130 fr. le jour, avec sursis, ni l’amende de 1’300 fr. convertible en 10 jours de peine privative de liberté. Celles-ci apparaissent en effet adéquates tant dans leur principe que dans leur quotité et seront confirmées.</w:t>
      </w:r>
    </w:p>
    <w:p>
      <w:r>
        <w:rPr>
          <w:b/>
        </w:rPr>
        <w:t>E. 5</w:t>
      </w:r>
    </w:p>
    <w:p>
      <w:r>
        <w:t>L'appelant requiert que les frais de la cause soient laissés à la charge de l'Etat et qu’une indemnité au sens de l’art. 429 CPP lui soit octroyée. Dès lors que sa condamnation est confirmée, ces conclusions doivent être rejetées.</w:t>
      </w:r>
    </w:p>
    <w:p>
      <w:r>
        <w:rPr>
          <w:b/>
        </w:rPr>
        <w:t>E. 6.1</w:t>
      </w:r>
    </w:p>
    <w:p>
      <w:r>
        <w:t>A titre subsidiaire, l’appelant fait valoir que le premier juge n’a pas motivé le montant alloué à A.I.________ au titre d’indemnité au sens de l’art. 433 CPP, ce qui constituerait une violation de son droit d’être entendu. Ce montant serait en outre disproportionné, compte tenu de la nature et de la complexité de l’affaire.</w:t>
      </w:r>
    </w:p>
    <w:p>
      <w:r>
        <w:rPr>
          <w:b/>
        </w:rPr>
        <w:t>E. 6.2.1</w:t>
      </w:r>
    </w:p>
    <w:p>
      <w:r>
        <w:t>Le droit d’être entendu, garanti par les art. 3 al. 2 let. c CPP, 29 al. 2 Cst. et 6 par. 1 CEDH (Convention de sauvegarde des droits de l’Homme et des libertés fondamentales conclue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du 20 février 2020 consid. 2.1 ; TF 6B_248/2019 du 29 mars 2019 consid. 2.1.2 ; TF 6B_1410/2017 du 15 juin 2018 consid. 3.1).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6.2.2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w:t>
      </w:r>
    </w:p>
    <w:p>
      <w:r>
        <w:rPr>
          <w:b/>
        </w:rPr>
        <w:t>E. 6.3</w:t>
      </w:r>
    </w:p>
    <w:p>
      <w:r>
        <w:t>Dans la mesure où l’appelant a été condamné et que les frais de la procédure ont été mis à sa charge, c’est à juste titre qu’une indemnité a été octroyée à A.I.________, partie plaignante. Aux termes du dispositif de son jugement, le Tribunal de police a fixé celle-ci à 6'770 francs. Il n’a toutefois effectivement pas motivé sa décision dans ses considérants. Cette irrégularité peut néanmoins être réparée par l’autorité d’appel dont le pouvoir de cognition est entier. Lors des débats de première instance, A.I.________ a conclu à l’allocation d’une indemnité de 8'416 fr. 40, avec intérêts à 5% l’an à compter du 25 janvier 2021, au titre d’indemnité au sens de l’art. 433 al. 1 let. a CPP (P. 80). Elle a produit un courrier que Me B.________ lui avait adressé indiquant que les honoraires qu’elle lui avait facturé pour la rédaction de sa plainte et un courrier correspondaient à 640 fr. 80, TVA comprise (P. 81/1). Elle a également produit une liste des opérations de Me Mathilde Bessonnet mentionnant des honoraires s’élevant à 7'775 fr. 60 et faisant état d’une activité déployée entre le 29 septembre 2021 et le 13 juin 2023 de 20 heures et 45 minutes au tarif horaire de 350 fr. (P. 81/2). Compte tenu de la longueur de la procédure et de la nature de l’affaire, une telle activité apparaît raisonnable, de sorte que le montant réduit accordé par le premier juge ne prête pas le flanc à la critique. On relèvera à titre de comparaison que Me Margaux Loretan a invoqué pour sa part avoir consacré 15.06 heures à la défense du prévenu entre le 27 juin 2022 et le 13 juin 2023, requérant également un tarif horaire de 350 fr. (P. 83). L’ordonnance de classement dont a bénéficié le prévenu le 25 avril 2022 pour voies de fait qualifiées et violation du devoir d’assistance ou d’éducation a en outre été prise en compte puisque l’indemnité réclamée a été réduite de 1'646 fr. 40, ce qui apparaît adéquat. Partant, le grief de l’appelant doit être rejeté.</w:t>
      </w:r>
    </w:p>
    <w:p>
      <w:r>
        <w:rPr>
          <w:b/>
        </w:rPr>
        <w:t>E. 7</w:t>
      </w:r>
    </w:p>
    <w:p>
      <w:r>
        <w:t>En définitive, l’appel de R.________ doit être rejeté et le jugement entrepris confirmé. A.I.________, qui a procédé avec l’assistance d’un avocat de choix et obtenu gain de cause, a droit à une indemnité pour les dépenses obligatoires occasionnées par la procédure d’appel. Elle a requis à ce titre un montant de 4'132 fr. 50 et a produit une note d’honoraires faisant état de 10 heures et 57 minutes au tarif horaire de 350 fr., dont 4 heures pour l’audience d’appel et la vacation qui lui est liée (P. 104). Compte tenu de la nature de la cause, il convient de retenir un tarif horaire de 300 francs. L’audience n’ayant duré qu’une heure, le temps compté pour celle-ci, vacation comprise, sera ramené à 2 heures. L’indemnité en faveur de l’intimée sera ainsi arrêtée à 1'485 fr. (4h57 x 300 fr.), plus la TVA à 7,7 %, par 114 fr. 35, soit à un total de 1'599 fr. 35 pour les opérations effectuées jusqu’au 31 décembre 2023, et à 1’200 fr. (4h x 300 fr.), plus la TVA à 8,1 %, par 97 fr. 20, soit à un total de 1'297 fr. 20, pour les opérations effectuées depuis le 1 er janvier 2024. Au total, l’indemnité due sera donc fixée à 2'896 fr. 55 (1'599 fr. 35 + 1'297 fr. 20), TVA incluse, étant précisé que la liste des opérations produites par l’intimée ne comporte aucun montant pour les débours. Cette indemnité sera mise à la charge de l’appelant, qui succombe. Vu l’issue de la cause, les frais de la procédure d’appel, constitués du seul émolument de jugement, par 2’380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