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145 vom 15. August 2023</w:t>
      </w:r>
    </w:p>
    <w:p>
      <w:r>
        <w:t>VD Tribunal cantonal, 2023-08-15, FR</w:t>
      </w:r>
    </w:p>
    <w:p>
      <w:r>
        <w:rPr>
          <w:b/>
        </w:rPr>
        <w:t xml:space="preserve">Quelle: </w:t>
      </w:r>
      <w:r>
        <w:t>https://mcp.opencaselaw.ch/entscheid/vd_findinfo_Jug___2024___145</w:t>
      </w:r>
    </w:p>
    <w:p>
      <w:r>
        <w:t>FR: VD_FINDINFO Jug / 2024 / 145 du 15 août 2023</w:t>
      </w:r>
    </w:p>
    <w:p>
      <w:r>
        <w:t>IT: VD_FINDINFO Jug / 2024 / 145 del 15 agosto 2023</w:t>
      </w:r>
    </w:p>
    <w:p>
      <w:pPr>
        <w:pStyle w:val="Heading2"/>
      </w:pPr>
      <w:r>
        <w:t>Regeste</w:t>
      </w:r>
    </w:p>
    <w:p>
      <w:r>
        <w:t>HOMICIDE PAR NÉGLIGENCE, PEINE PÉCUNIAIRE, SURSIS À L'EXÉCUTION DE LA PEINE | 47 CO, 106 CP, 117 CP, 126 CPP (CH)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N.________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a requis, à titre de mesure d’instruction, la mise en œuvre d’une expertise judiciaire complémentaire ainsi que l’audition de l’expert K.________ afin d’éclaircir la distance de visibilité de l’appelant au croisement en cause, le moment lors duquel il avait pris la décision de s’engager sur la route du [...], la position de C.T.________ à cet instant T et la visibilité de l’appelant ; la distance de visibilité de C.T.________ à 80 mètres et 50 mètres du point de choc, sa distance de freinage et la vitesse qui lui aurait permis de s’arrêter en fonction de cette distance de visibilité. Se référant à deux jurisprudences du Tribunal fédéral relativisant l’application de la règle du tâtonnement dans des situations spécifiques, l’appelant soutient que compte tenu de la configuration des lieux (route en dos d’âne avec végétation entravant la visibilité), la distance de visibilité à sa disposition était excessivement réduite au point que cette règle ne serait pas applicable au cas d’espèce (TF 6S.457/2004 du 21 mars 2005 consid. 2.3 dans laquelle la distance de visibilité était de 55 mètres et augmentait de 14 mètres lorsque l’automobiliste s’engageait sur la route principale ; TF 6B_746/2007 du 29 février 2008 consid. 1.2 dans laquelle la visibilité était comprise entre 60 et 70 mètres). L’administration de cette preuve doit être rejetée, celle-ci étant inutile pour le traitement de l’appel. En effet, la Cour de céans s’estime suffisamment renseignée sur toutes les circonstances déterminantes de l’accident. Dans son dernier complément du 20 décembre 2023, l’expert a établi la distance de visibilité du conducteur lorsque celui-ci se trouvait positionné directement sur la ligne du cédez le passage et ainsi que cette distance de visibilité avant le point de choc (P. 104/2). Tous les rapports d’expertises judiciaires réalisés durant la procédure arrivent à la même conclusion, à savoir que pour éviter le choc, le conducteur de la Tesla aurait dû s’avancer très lentement – soit en suivant la règle du tâtonnement conformément à la jurisprudence fédérale en vigueur – au moment de s’engager sur la route principale sur laquelle roulait le motocycliste à une vitesse ne dépassant pas celle autorisée (P. 35, pp. 23-24 ; P. 44, P. 50 ; P. 104/2, p. 9). L’expert judiciaire K.________ a en outre été entendu aux débats d’appel en présence des parties, lesquelles ont pu lui poser des questions complémentaires. Il a confirmé à cette occasion les conclusions ressortant de l’expertise et de ses compléments selon lesquelles, si le véhicule de l’appelant, après s’être arrêté, avait repris sa course pour circuler à une vitesse ne dépassant pas 5 km/h, la voiture ne serait pas arrivée au point de choc et la moto serait passée devant lui sans avoir à freiner ni à l’éviter. Si la voiture avait roulé à une vitesse inférieure à 5 km/h, la probabilité augmentait plus fortement que l’accident ne se produise pas. Cette conclusion n’est au demeurant pas contestée par l’expertise privée (P. 106/1, p. 12) qui n’apporte aucun élément déterminant et qui peut dès lors être écartée.</w:t>
      </w:r>
    </w:p>
    <w:p>
      <w:r>
        <w:rPr>
          <w:b/>
        </w:rPr>
        <w:t>E. 3</w:t>
      </w:r>
    </w:p>
    <w:p>
      <w:r>
        <w:t>L’appelant se plaint d’une violation du principe d’accusation en ce que les faits dénoncés ne seraient pas assez précis pour saisir le comportement négligent qui lui est reproché, ne comportant pas les termes « accélération conséquente », « engagement d’une traite » ou encore « sans avancer à tâtons ».</w:t>
      </w:r>
    </w:p>
    <w:p>
      <w:r>
        <w:rPr>
          <w:b/>
        </w:rPr>
        <w:t>E. 3.1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6B_136/2021 du 6 septembre 2021 consid. 3.3 ; TF 6B_1188/2020 du</w:t>
      </w:r>
    </w:p>
    <w:p>
      <w:r>
        <w:rPr>
          <w:b/>
        </w:rPr>
        <w:t>E. 3.2</w:t>
      </w:r>
    </w:p>
    <w:p>
      <w:r>
        <w:t>Les faits figurant dans l’acte d’accusation sont suffisamment détaillés pour comprendre qu’il est reproché à l’appelant de ne pas avoir fait preuve de la prudence nécessaire au moment de s’engager sur la voie de circulation prioritaire empruntée par le motard, provoquant l’accident mortel survenu. Le principe d’accusation n’exige pas l’énoncé de tous les manquements du prévenu, ni du comportement qui était attendu de lui, celui-ci devant uniquement comprendre que son inattention ou son imprudence sont à l’origine de l’accident. Cela suffit pour lui permettre d’apprécier sur les plans objectif et subjectif, le reproche qui lui est formulé au travers de l’infraction dénoncée à son encontre. Le grief doit être rejeté. 4. L’appelant reproche ensuite au premier juge une constatation erronée et incomplète des faits. Se fondant sur le rapport de police (P. 44) et se livrant à ses propres calculs, il soutient que l’état de fait du jugement querellé devrait être complété pour retenir que la distance de visibilité de l’appelant était au mieux voisine de 40 mètres lorsqu’il a arrêté son véhicule et qu’elle n’aurait pas été augmentée s’il s’était avancé à tâtons sur la route [...], que son véhicule se trouvait alors sur la ligne du cédez le passage, respectivement « à 50 cm approximativement au ras de cette ligne », que lorsqu’il a pris la décision de s’engager sur la route prioritaire 2,24 secondes avant l’accident, la moto, qui circulait à 80 km/h et qui était située à 50 mètres, n’était dès lors pas visible, que la visibilité du motard était inférieure à 50 mètres et que sa vitesse était par conséquent inadaptée. L’appelant reproche par ailleurs au premier juge de ne pas avoir repris toutes les valeurs déterminées par l’expertise judiciaires et son complément aux différents stades des événements (temps, distances au point de choc, distances de visibilité pour l’appelant et la victime).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 4.2 En l’espèce, la question qui se pose est de savoir si l’accident serait survenu si la règle jurisprudentielle du tâtonnement citée par le premier juge (cf. jgmt, p. 20) avait été appliquée par l’appelant, qui s’engageait sur la route prioritaire à celle qu’il empruntait jusque-là au moment de franchir le cédez le passage, cela nonobstant la configuration des lieux (route en dos d’âne avec végétation entravant la visibilité). Il ressort du complément d’expertise judiciaire établi le 20 décembre 2023 (P. 104/2) qu’à l’endroit de l’accident, la route est large, soit de 7,4 mètres environ et rectiligne sur environ 125 mètres avant la zone de collision, l’intersection étant équipée d’un éclairage public (p. 3) ; que si la voiture de l’appelant avait roulé à l’allure du pas (5 km/h au maximum) après son arrêt au cédez le passage et que le motard circulait à 72 km/h, ce dernier se serait situé à 27,4 mètres de la zone de collision alors que la voiture de l’appelant en aurait encore été éloignée de 1,6 mètres (p. 5) ; que dans cette même hypothèse, le motard se serait situé à 29,7 mètres de la zone de collision s’il circulait à 78 km/h (p. 5) ; que lorsque l’avant de son véhicule était situé à 1,6 mètres de la zone de collision, la distance de visibilité maximale de l‘appelant était alors d’un peu plus de 50 mètres (p. 5) ; que dans l’hypothèse où le véhicule conduit par l’appelant se serait arrêté alors que ce dernier se trouvait exactement positionné sur la ligne du cédez le passage, l’avant de la voiture se serait situé encore à environ 1 mètre de la zone de collision (p. 7) ; que dans cette hypothèse, la distance de visibilité de l’appelant portait sur environ 80 mètres (p. 8) ; qu’avant d’arriver dans cette position, l’appelant aurait déjà dû réagir à la vue du motard, et même avant que l’avant de son véhicule ne se trouve à 1,6 mètres du lieu de la collision, la moto étant à chaque fois intégralement présente dans son champ visuel (p. 8) ; qu’enfin, en considérant l’endroit où devait se trouver la moto lorsque le véhicule de l’appelant a débuté sa manœuvre pour s’engager sur la route prioritaire, soit entre 34 et 37 mètres du lieu de l’accident, et en démarrant lentement, l’avant de la voiture se serait situé en retrait de la position de collision (environ 1,6 mètres après la ligne d’attente du cédez le passage) au moment où la moto serait arrivée à sa hauteur, ce qui aurait permis au motocycliste de passer sans percuter la voiture, ce d’autant si l’appelant avait réagi et débuté un freinage comme la situation le lui permettait (p. 9). La Cour de céans retient en outre que lorsque le conducteur de la voiture électrique en cause lâche l’accélérateur, la voiture « freine automatiquement » (PV aud. 1, R. 6, p. 2) et que l’appelant connaît parfaitement la configuration des lieux pour y passer régulièrement afin de prendre le train (PV aud. 1, R. 20, p. 4). Compte tenu de ce qui précède, il n’y a pas lieu de compléter l’état de fait selon ce que requiert l’appelant dès lors que les compléments réclamés ne sont pas nécessaires à la résolution du litige et ne correspondent pas au résultat de l’expertise judiciaire, en particulier de son dernier complément. 5. L’appelant conteste encore la réalisation des éléments constitutifs de l’infraction d’homicide par négligence. 5.1 5.1.1 L’art. 117 CP, qui réprime l’homicide par négligence, suppose la réunion de trois conditions : le décès d’une personne, une négligence et un lien de causalité entre le négligence et la mort (ATF 122 IV 145 consid. 3). La négligence est définie à l’art. 12 al. 3 CP, selon lequel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Pour qu’il y ait homicide par négligence, il faut tout d’abord que l’auteur ait violé les règles de prudence que les circonstances lui imposaient pour ne pas excéder les limites du risque admissible (ATF 122 IV 145 consid. 3b/aa).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(ATF 126 IV 91 consid. 4a/aa ; ATF 122 IV 133 consid. 2a). 5.1.2 Selon l’art. 27 LCR (loi sur la circulation routière ; RS 741.01), chacun se conformera aux signaux et aux marques ainsi qu’aux ordres de la police. Les signaux et les marques priment les règles générales ; les ordres de la police ont le pas sur les règles générales, les signaux et les marques. L’art. 36 al. 2 LCR stipule qu’aux intersections, le véhicule qui vient de droite a la priorité. Les véhicules circulant sur une route signalée comme principale ont la priorité, même s’ils viennent de gauche. Est réservée toute réglementation différente de la circulation imposée par des signaux ou la police. Conformément à l’art. 14 OCR (ordonnance sur les règles de la circulation routière ; RS 741.11), celui qui est tenu d’accorder la priorité ne doit pas gêner dans sa marche le conducteur bénéficiaire de la priorité. Il réduira sa vitesse à temps et, s’il doit attendre, s’arrêtera avant le début de l’intersection. En application de l’art. 36 al. 2 OSR (ordonnance sur la signalisation routière ; RS 741.21), le signal cédez le passage oblige le conducteur à accorder la priorité aux véhicules circulant sur la route dont il s’approche. Le Tribunal fédéral a rappelé que le débiteur de la priorité ne peut remplir ses obligations envers le prioritaire qu'à condition d'avoir une vue suffisante sur la route prioritaire et cela des deux côtés. Les obligations découlant d'une mauvaise visibilité sont à sa charge. En cas d'absence de visibilité, le débiteur de la priorité doit s'avancer très lentement et très prudemment, "en tâtonnant". Cette règle s'applique dans les cas où la visibilité du débiteur de la priorité sur la voie prioritaire est masquée par un mur ou des plantations, notamment dans les intersections munies d’un cédez le passage à mauvaise visibilité,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soit en l’évitant, soit en l’avertissant par un signal. Le non-prioritaire qui s’engage de cette façon peut, le cas échéant, s’arrêter instantanément et n’encourt aucun reproche (ATF 143 IV 500 consid. 1.2.2 et les réf. citées). 5.1.3 Aux termes de l’art. 26 al. 1 LCR, chacun doit se comporter, dans la circulation, de manière à ne pas gêner ni mettre en danger ceux qui utilisent la route conformément aux règles établies. Selon le principe de la confiance, l’usager de la route qui se comporte de façon réglementaire est en droit d’attendre des autres usagers qu’ils se comportent également conformément aux règles de la circulation, aussi longtemps tout au moins que l’attention commandée par les circonstances ne l’oblige pas à s’attendre à une violation de ces règles par autrui (ATF 97 IV 242, JdT 1972 I 429 n° 40). Aux intersections, le prioritaire peut présumer que sa priorité sera respectée et n’a pas à compter avec une éventuelle violation de son droit (ATF 92 IV 138, JdT 1967 I 415 n° 34), même aux intersections sans visibilité (ATF 114 II 175, JdT 1988 I 169 n° 47). Le non-prioritaire n’a pas le droit, dans toutes les situations, de présumer que le prioritaire le verra et évitera la collision, car cela reviendrait à imposer une priorité que l’on n’a pas (ATF 85 IV 146, JdT 1960 I 431 n° 34). Toutefois, dans certains cas, le conducteur à qui un certain temps est nécessaire pour effectuer une certaine manœuvre peut compter, si la visibilité est suffisante (150 mètres), que le prioritaire ralentira ou s’arrêtera même, en cas de nécessité (ATF 89 IV 140, JdT 1964 I 398 n° 17). Seul celui qui se comporte réglementairement peut se prévaloir du principe de la confiance (ATF 118 IV 277, consid. 4a). 5.1.4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 5.2 En l’espèce, le premier juge a retenu que l’appelant était arrivé lentement aux abords du cédez le passage, ralentissant à la vitesse du pas, puis s’arrêtant à environ 50 centimètres du marquage au sol pour laisser passer un cyclomoteur qui venait sur sa droite et observer l’intersection. Il avait dûment regardé à droite, puis à gauche, marquant un temps d’arrêt de deux secondes. Sur la base de l’expertise, l’autorité de première instance a conclu que l’appelant n’avait vu aucun véhicule sur sa gauche avant de s’élancer sur la route principale, compte tenu de la mauvaise visibilité et du fait qu’il faisait encore sombre. Au bénéfice du doute, l’expertise n’étant pas affirmative sur ce point, le premier juge a également retenu qu’au moment où il avait décidé de s’engager sur la voie principale, l’appelant ne voyait pas non plus le halo lumineux du phare de la moto de C.T.________. Le fait qu’il se soit arrêté à 50 centimètres en retrait de la ligne de marquage au sol n’y changeait rien, puisqu’à dire d’expert, sa visibilité n’aurait été améliorée que de manière marginale s’il s’était arrêté sur la ligne. Toutefois, en s’engageant d’une traite, avec une accélération conséquente (passant de 0 à 18 ou 19 km/h en 1,6 seconde), l’appelant – qui savait pourtant que la visibilité à cet endroit était très mauvaise – avait enfreint son devoir de prudence et avait violé le droit de priorité du défunt. La prudence aurait justement voulu, dans ces circonstances, qu’il s’engage en tâtonnant, très prudemment et à vitesse très réduite, conformément à la jurisprudence rappelée ci-dessus, et non pas d’un seul coup comme il l’avait fait, ce qui aurait permis d’éviter l’accident selon les conclusions de l’expertise. En outre, le magistrat a considéré que C.T.________ roulait à une vitesse inférieure ou égale à 80 km/h sur une route prioritaire limitée à 80 km/h et sur chaussée sèche. Il pouvait s’attendre à ce que les autres usagers respectent son droit de priorité et n’avait pas à compter avec une éventuelle violation de ce droit, même aux intersections sans visibilité, de sorte qu’il n'avait pas commis de violation des règles de la circulation routière. Par ailleurs, il n’était pas contesté ni contestable que le décès de C.T.________ faisait suite à l’accident dont il avait été victime, les liens de causalité naturelle et adéquate étant donc établis. Enfin, l’appelant devait s’attendre à ce qu’un véhicule circulant à 80 km/h puisse arriver de sa gauche ; dès lors, ni la vitesse de la moto, ni la consommation de cannabis du défunt, ne reléguaient à l’arrière-plan le comportement de l’appelant, le lien de causalité adéquate n’étant par conséquent pas rompu (cf. jgmt, pp. 19-20). Ces appréciations ne prêtent pas le flanc à la critique et doivent être confirmées. En effet, les hypothèses examinées par le dernier complément d’expertises (P. 104/2) démontrent de manière indiscutable que l’accident ne serait pas survenu si l’appelant avait avancé son véhicule à tâtons durant toute la phase où sa visibilité était masquée par la végétation. Aucun risque d’accident n’était à craindre en effectuant la manœuvre en question. Il faut considérer qu’en cherchant à passer rapidement avec sa voiture au moment des faits, l’appelant, qui connait la configuration particulière des lieux pour y passer plusieurs fois par semaine, avait conscience du danger de la situation en raison du peu de visibilité dont il disposait vis-à-vis des véhicules dont il devait concéder la priorité. Etant donné le caractère rectiligne de la route principale sur laquelle il entendait s’engager, l’appelant devait s’attendre à ce que les véhicules prioritaires par rapport à lui circulent au niveau de la limite maximum de vitesse autorisée, voire au-delà. Quant aux deux jurisprudences citées par l’appelant pour exclure l’application de la règle du tâtonnement, lesquelles concernent des situations différentes puisque dans un cas la voie de circulation était limitée à 4,85 mètres de large et que dans l’autre elle était très fortement réduite en raison d’un chantier, celles-ci ne trouvent de toute manière pas application, dès lors qu’il est établi que l’appelant était en mesure d’avancer ʺà l’aveugletteʺ sur une distance suffisante pour étendre largement sa distance de visibilité tout en permettant au véhicule engagé sur la route principale de passer sans difficulté ou de l’apercevoir à temps pour l’éviter, voir même s’arrêter, étant rappelé que cette route était large et rectiligne. Par ailleurs, la Cour de céans relève que l’allure du pas prise en compte par l’expert est défavorable au motocycliste par rapport à la règle du tâtonnement qui impose une allure plus lente encore, voire des arrêts selon les étapes à franchir et la distance de visibilité à disposition. En outre, il convient de retenir que la voiture de l’appelant “freine” instantanément lorsque le conducteur arrête d’accélérer sans qu’il soit nécessaire d’appuyer sur la pédale de frein, ce qui réduit d’autant le temps du processus de freinage. En l’occurrence, si l’appelant s’était avancé prudemment au moment de franchir le cédez le passage, sa distance de visibilité aurait déjà été de 50 mètres lorsqu’il se trouvait positionné à 1,6 mètres du lieu de la collision, le motard était alors situé au maximum à 29,7 mètres de lui. L’appelant aurait pu s’arrêter alors qu’il était lui-même physiquement au niveau de la ligne du cédez le passage, l’avant de son véhicule étant à cet endroit encore à environ 1 mètre du lieu de la collision. Surtout, même en s’avançant simplement à la vitesse du pas, la moto était en mesure de passer devant lui sans accident. L’expert entendu aux débats d’appel a encore confirmé cette conclusion. Par conséquent, quelles que soient les hypothèses envisagées, force est de retenir que l’accident ne serait pas survenu si l’appelant s’était montré prudent et avait avancé à tâtons, comportement qui était attendu de lui en pareille circonstance et dont le manquement doit lui être imputé à faute. Compte tenu de ce qui précède, la condamnation de l’appelant pour homicide par négligence doit être confirmée, toutes les conditions de l’art. 117 CP étant réalisées. 6. L’appelant conteste enfin le montant de l’indemnité en tort moral allouée aux parents du défunt, en faisant valoir une faute concomitante de ce dernier. 6.1 6.1.1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La perte d’un enfant donne en principe lieu à indemnisation du tort moral, et ce même si la victime était majeure et avait déjà fondé son propre foyer. Si l’âge de la victime ne joue en principe pas de rôle, la jurisprudence retient parfois que la douleur des parents est plus grande lorsqu’ils perdent leur enfant unique. (Guyaz, op.  cit., in SJ 2013 II p. 215, spéc. 235). 6.1.2 La possibilité de réduire une indemnité pour tenir compte d'une faute concomitante, résultant de l'art. 44 al. 1 CO, existe dans le cas d'une indemnité pour tort moral (cf. ATF 131 III 12 consid.</w:t>
      </w:r>
    </w:p>
    <w:p>
      <w:r>
        <w:rPr>
          <w:b/>
        </w:rPr>
        <w:t>E. 7</w:t>
      </w:r>
    </w:p>
    <w:p>
      <w:r>
        <w:t>juillet 2021 consid. 2.1; TF 6B_623/2020 du 11 mars 2021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précité consid. 2.2 ; ATF 141 IV 132 précité consid. 3.4.1 et les réf. citées).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w:t>
      </w:r>
    </w:p>
    <w:p>
      <w:r>
        <w:rPr>
          <w:b/>
        </w:rPr>
        <w:t>E. 7.1.2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7.1.3</w:t>
      </w:r>
    </w:p>
    <w:p>
      <w:r>
        <w:t>En application de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7.2</w:t>
      </w:r>
    </w:p>
    <w:p>
      <w:r>
        <w:t>En l’espèce, N.________ s’est rendu coupable d’homicide par négligence, infraction passible d’une peine privative de liberté de trois ans au plus ou d’une peine pécuniaire. La peine pécuniaire de 60 jours-amende à 300 fr. le jour prononcée par le premier juge a été fixée en application des critères légaux rappelés ci-dessus et conformément à la culpabilité et la situation personnelle de N.________. Elle doit dès lors être confirmée pour les motifs exposés dans le jugement attaqué (cf. jgmt, p. 22). Il en va de même s’agissant de l’amende de 1'000 fr. prononcée à titre de sanction immédiate, qui se justifie pour des motifs de prévention spéciale, l’appelant persistant, encore en appel, à minimiser son erreur et à soutenir que la victime était fautive.</w:t>
      </w:r>
    </w:p>
    <w:p>
      <w:r>
        <w:rPr>
          <w:b/>
        </w:rPr>
        <w:t>E. 8</w:t>
      </w:r>
    </w:p>
    <w:p>
      <w:r>
        <w:t>En définitive, l’appel, mal fondé, doit être rejeté et le jugement confirmé. L’appelant voit sa condamnation pour homicide par négligence confirmée de sorte qu’il ne peut prétendre à l’allocation d’une indemnité au sens de l’art. 429 CPP. Les frais de la procédure d’appel s’élèvent à 6'521 fr. 35, à savoir les émoluments de jugement et d’audience, par 3’560 fr., l’émolument de l’ordonnance de complément d’expertise du 10 novembre 2023, par 90 fr., les frais liés au complément d’expertise, par 1'680 fr. 10, et ceux résultant de la comparution de l’expert aux débats d’appel, par 1'191 fr. 25, (art. 422 al. 1 et 2 CPP ; 21 al. 1 et 2 TFIP [tarif des frais de procédure et indemnités en matière pénale du 28 septembre 2010, BLV 312.03.1]). Vu l’issue de la cause, ces frais seront mis à la charge de N.________, qui succombe (art. 428 al. 1 CPP). Les plaignants, qui ont agi par le biais d’un conseil professionnel, obtiennent gain de cause puisqu’ils ont conclu au rejet de l’appel. Ils peuvent dès lors prétendre à une indemnité pour les dépenses obligatoires occasionnées par la procédure d’appel, à la charge de l’appelant. Selon la liste d’opérations produite (P. 109), le conseil des plaignants a consacré 17h50 à ce mandat durant la procédure d’appel, ce qui peut être admis. On ajoutera 3 heures à cette durée pour tenir compte de l’audience d’appel. Au tarif horaire de 350 fr., l’indemnité doit être fixée à 8'169 fr. 65,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