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137 vom 25. Februar 2021</w:t>
      </w:r>
    </w:p>
    <w:p>
      <w:r>
        <w:t>VD Tribunal cantonal, 2021-02-25, FR</w:t>
      </w:r>
    </w:p>
    <w:p>
      <w:r>
        <w:rPr>
          <w:b/>
        </w:rPr>
        <w:t xml:space="preserve">Quelle: </w:t>
      </w:r>
      <w:r>
        <w:t>https://mcp.opencaselaw.ch/entscheid/vd_findinfo_Jug___2024___137</w:t>
      </w:r>
    </w:p>
    <w:p>
      <w:r>
        <w:t>FR: VD_FINDINFO Jug / 2024 / 137 du 25 février 2021</w:t>
      </w:r>
    </w:p>
    <w:p>
      <w:r>
        <w:t>IT: VD_FINDINFO Jug / 2024 / 137 del 25 febbraio 2021</w:t>
      </w:r>
    </w:p>
    <w:p>
      <w:pPr>
        <w:pStyle w:val="Heading2"/>
      </w:pPr>
      <w:r>
        <w:t>Regeste</w:t>
      </w:r>
    </w:p>
    <w:p>
      <w:r>
        <w:t>RÉVISION{DÉCISION}, DEMANDE ADRESSÉE À L'AUTORITÉ | 410 al. 1 let. a CPP (CH), 412 CPP (CH)</w:t>
      </w:r>
    </w:p>
    <w:p>
      <w:pPr>
        <w:pStyle w:val="Heading2"/>
      </w:pPr>
      <w:r>
        <w:t>Erwägungen</w:t>
      </w:r>
    </w:p>
    <w:p>
      <w:r>
        <w:rPr>
          <w:b/>
        </w:rPr>
        <w:t>E. 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411 CPP, les demandes de révision doivent être motivées et adressées par écrit à la juridiction d’appel. Les motifs de révision doivent être exposés et justifiés dans la demande (al. 1). La demande de révision visée à l'art. 410 al. 1 let. a CPP n'est soumise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w:t>
      </w:r>
    </w:p>
    <w:p>
      <w:r>
        <w:rPr>
          <w:b/>
        </w:rPr>
        <w:t>E. 2</w:t>
      </w:r>
    </w:p>
    <w:p>
      <w:r>
        <w:t>Dans son arrêt du 8 juin 2022, le Tribunal fédéral n’a pas complété ni rectifié les faits établis par la Cour d’appel pénale dans son jugement du 1 er juillet 2021, de sorte que cette dernière autorité est compétente pour examiner les moyens invoqués par la requérante ( ATF 134 IV 48 consid. 1 ; TF 6F_30/2020 du 28 octobre 2020 consid. 3.2 ; TF 6F_16/2020 du 3 juin 2020 consid. 1.1 ; TF 6F_32/2019 du 9 janvier 2020 consid. 1.1).</w:t>
      </w:r>
    </w:p>
    <w:p>
      <w:r>
        <w:rPr>
          <w:b/>
        </w:rPr>
        <w:t>E. 3</w:t>
      </w:r>
    </w:p>
    <w:p>
      <w:r>
        <w:t>La requérante fait valoir que l’expertise psychiatrique du Prof. N.________ du 8 février 2023 démontre qu’elle est intimement convaincue de la véracité de ses allégations en raison du trouble mental dont elle souffre, de sorte que ce nouveau moyen de preuve est de nature à la libérer de l’infraction de dénonciation calomnieuse. Elle ajoute que le Prof. N.________ a confirmé ses conclusions au cours de l’audience du Tribunal de police du canton de Genève du 27 mars 2023. En l’espèce, l’expert psychiatre a diagnostiqué chez la requérante un trouble mixte de la personnalité, à traits narcissiques, émotionnellement labiles de type borderline et paranoïaque. Or il a également exposé que, malgré ce trouble sévère de la personnalité, l’intéressée « a possédé et possède en tout temps la faculté d’apprécier le caractère illicite de ses actes et de se déterminer d’après cette appréciation. Elle réitère ses accusations et les propos considérés comme attentatoires à l’honneur des plaignants en pleine conscience des décisions pénales qui les ont à de nombreuses reprises invalidées et en choisissant délibérément d’enfreindre les ordonnances pénales et autres mesures de substitution prononcées à son encontre » (P. 91/2, p. 42). En d’autres termes, ce n’est pas parce que la requérante demeure figée dans sa conviction selon laquelle elle seule détiendrait la vérité que sa responsabilité pénale serait altérée. Le fait que le Prof. N.________ ait confirmé ses conclusions au cours de l’audience du Tribunal de police du canton de Genève du 27 mars 2023, à savoir que l’expertisée avait la conviction de la justesse de son combat, avec tout ce qu’elle pouvait avoir de juste ou d’erroné, n’y change rien. Il s’agit d’ailleurs de l’avis d’un expert dans le cadre d’une autre procédure qui ne lie en rien la Cour de céans. Pour le surplus, la responsabilité de la requérante est, à dire d’expert, entière et elle n’explique pas en quoi le contenu du procès-verbal de cette audience démontrerait que les éléments objectifs et subjectifs de l’infraction de dénonciation calomnieuse ne se seraient plus réalisés. Quant au recours déposé le 30 avril 2018 auprès de la Chambre des recours pénale du canton de Vaud, il figure au dossier (P. 10) et a donc déjà été pris en compte par la Cour d’appel pénale dans son jugement du 1 er juillet 2021, de sorte que sa production n'est pas nouvelle. Il résulte de ce qui précède que la requérante ne présente aucun fait ou moyen de preuve nouveau et sérieux propre à ébranler les constatations de fait sur lesquelles s'est fondée sa condamnation pour dénonciation calomnieuse. La demande de révision doit par conséquent être déclarée irrecevable (art. 412 al. 2 CPP).</w:t>
      </w:r>
    </w:p>
    <w:p>
      <w:r>
        <w:rPr>
          <w:b/>
        </w:rPr>
        <w:t>E. 4</w:t>
      </w:r>
    </w:p>
    <w:p>
      <w:r>
        <w:t>Dans la mesure où la demande de révision apparaissait d'emblée dénuée de chances de succès, la requête d'assistance judiciaire d’Y.________ doit être rejetée.</w:t>
      </w:r>
    </w:p>
    <w:p>
      <w:r>
        <w:rPr>
          <w:b/>
        </w:rPr>
        <w:t>E. 5</w:t>
      </w:r>
    </w:p>
    <w:p>
      <w:r>
        <w:t>Vu l’issue de la cause, les frais de la procédure de révision, par 660 fr. (art. 21 al. 1 TFIP [tarif des frais de procédure et indemnités en matière pénale du 28 septembre 2010 ; BLV 312.03.1] par renvoi de l’art. 22 TFIP), seront mis à la charge de la requérante,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