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129 vom 21. Dezember 2023</w:t>
      </w:r>
    </w:p>
    <w:p>
      <w:r>
        <w:t>VD Tribunal cantonal, 2023-12-21, FR</w:t>
      </w:r>
    </w:p>
    <w:p>
      <w:r>
        <w:rPr>
          <w:b/>
        </w:rPr>
        <w:t xml:space="preserve">Quelle: </w:t>
      </w:r>
      <w:r>
        <w:t>https://mcp.opencaselaw.ch/entscheid/vd_findinfo_Jug___2024___129</w:t>
      </w:r>
    </w:p>
    <w:p>
      <w:r>
        <w:t>FR: VD_FINDINFO Jug / 2024 / 129 du 21 décembre 2023</w:t>
      </w:r>
    </w:p>
    <w:p>
      <w:r>
        <w:t>IT: VD_FINDINFO Jug / 2024 / 129 del 21 dicembre 2023</w:t>
      </w:r>
    </w:p>
    <w:p>
      <w:pPr>
        <w:pStyle w:val="Heading2"/>
      </w:pPr>
      <w:r>
        <w:t>Regeste</w:t>
      </w:r>
    </w:p>
    <w:p>
      <w:r>
        <w:t>EXCÈS DE VITESSE, PRÉSOMPTION D'INNOCENCE, VIOLATION DES RÈGLES DE LA CIRCULATION, DÉTENTEUR DE VÉHICULE | 106 CP, 90 al. 1 LCR, 96 OCR</w:t>
      </w:r>
    </w:p>
    <w:p>
      <w:pPr>
        <w:pStyle w:val="Heading2"/>
      </w:pPr>
      <w:r>
        <w:t>Erwägungen</w:t>
      </w:r>
    </w:p>
    <w:p>
      <w:r>
        <w:rPr>
          <w:b/>
        </w:rPr>
        <w:t>E. 1.1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ressort de la compétence d'un juge unique de la Cour d’appel pénale (art. 14 al. 3 LVCPP [loi vaudoise d'introduction du Code de procédure pénale suisse du 19 mai 2009 ; BLV 312.01]).</w:t>
      </w:r>
    </w:p>
    <w:p>
      <w:r>
        <w:rPr>
          <w:b/>
        </w:rPr>
        <w:t>E. 1.3</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En revanche, la juridiction d'appel peut revoir librement le droit (TF 6B_426/2019 du 31 juillet 2019 consid. 1.1, SJ 2020 I 219 ; TF 6B_622/2018 du 14 août 2018 consid. 2.1 ; TF 6B_360/2017 du 9 octobre 2017 consid. 1.3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 ATF 145 IV 154 consid. 1.1 ; ATF 143 IV 241 consid. 2.3.1).</w:t>
      </w:r>
    </w:p>
    <w:p>
      <w:r>
        <w:rPr>
          <w:b/>
        </w:rPr>
        <w:t>E. 2</w:t>
      </w:r>
    </w:p>
    <w:p>
      <w:r>
        <w:t>A titre de mesure d’instruction, l’appelant requiert l’audition de son épouse, Z.________ afin que l’autorité d’appel puisse apprécier sa crédibilité. Ce moyen est appellatoire et hors du champ du pouvoir d’examen du juge unique de la Cour d’appel pénale saisi d’un appel contre un jugement portant sur une contravention. De plus, le procédé est dilatoire, au vu de la résidence outre-Atlantique du témoin, qui nécessiterait, vu les explications de l’appelant, qu’on attende sa venue en Suisse. De plus, l’épouse a déjà été entendue par le premier juge sur sa version des faits. Il sera pris acte du fait qu’elle ne se souvient de pratiquement rien. Au surplus, pour les motifs qui seront exposés ci-dessous, la crédibilité de ce témoin n’est pas déterminante s’agissant d’un litige relevant de la loi sur la circulation routière.</w:t>
      </w:r>
    </w:p>
    <w:p>
      <w:r>
        <w:rPr>
          <w:b/>
        </w:rPr>
        <w:t>E. 3</w:t>
      </w:r>
    </w:p>
    <w:p>
      <w:r>
        <w:t>Invoquant le principe in dubio pro reo , l’appelant fait valoir que le premier juge ne disposait pas d’éléments suffisants pour lui permettre de se convaincre qu’il était le conducteur du véhicule au moment où l’infraction a été constatée par le radar. A cet égard, il lui fait grief d’avoir écarté arbitrairement le témoignage de son épouse, qui a indiqué avoir conduit le véhicule en question durant une vingtaine de minutes. Selon lui, on ne saurait dès lors exclure que celle-ci soit l’auteure de l’infraction.</w:t>
      </w:r>
    </w:p>
    <w:p>
      <w:r>
        <w:rPr>
          <w:b/>
        </w:rPr>
        <w:t>E. 3.1</w:t>
      </w:r>
    </w:p>
    <w:p>
      <w:r>
        <w:t>Aux termes de l’art. 90 al. 1 LCR (loi fédérale sur la circulation routière du 19 décembre 1958 ; RS 741.01), celui qui viole les règles de la circulation prévues par la présente loi ou par les dispositions d’exécution émanant du Conseil fédéral est puni de l’amende. Selon l’art. 27 al. 1 LCR, 1 ère phrase, chacun se conformera aux signaux et aux marques ainsi qu’aux ordres de la police. Selon l’art. 96 OCR (ordonnance sur les règles de la circulation routière du 13 novembre 1962 ; RS 741.11), Celui qui aura violé une prescription de la présente ordonnance sera puni de l’amende si aucune autre disposition pénale n’est applicable. Aux termes de l’art. 41 al.1 let. a OCR, la vitesse maximale générale des véhicules peut atteindre, lorsque les conditions de la route, de la circulation et de visibilité sont favorables, 50 km/h dans les localités.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w:t>
      </w:r>
    </w:p>
    <w:p>
      <w:r>
        <w:rPr>
          <w:b/>
        </w:rPr>
        <w:t>E. 3.3</w:t>
      </w:r>
    </w:p>
    <w:p>
      <w:r>
        <w:t>Selon la jurisprudence, le conducteur d’un véhicule automobile ne saurait se voir condamner à une infraction à la LCR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114 consid. 1a, en matière de retrait du permis de conduire ; TF 6B_1232/2020 du 14 juin 2021 consid. 1.2 ; TF 6B_451/2021 du 28 mai 2021 consid. 1.2 ; TF 6B_914/2015 du 30 juin 2016 consid. 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 TF 6B_1232/2020 précité ; TF 6B_451/2021 précité ; TF 6B_914/2015 précité).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6B_1232/2020 précité ; TF 6B_451/2021 précité ; TF 6B_914/2015 précité). Toujours selon la jurisprudence, la qualité de détenteur crée un indice de culpabilité suffisant appelant des explications de la part de celui-ci, la jurisprudence de la CourEDH admettant que l’on puisse tirer des conclusions en défaveur de l’accusé à raison de son silence, parce qu’il existe des éléments de preuve tels qu’ils appellent raisonnablement des explications de sa part (TF 6B_1168/2020 du 11 octobre 2022 consid. 1.5.1 et les arrêts cités). Un simple silence peut ainsi suffire à amener le juge à considérer que le détenteur était le conducteur, sauf si ce dernier fournit un minimum d’explications plausibles, comme la preuve de sa présence à un autre endroit au moment des faits ou la démonstration que le véhicule est à disposition d’un nombre indéterminé de personnes (Jeanneret, Les dispositions pénales de la loi sur la circulation routière [LCR], Berne 2007, p. 15, Définitions n. 41 ; CAPE 24 août 2023/410 consid. 3.2 ; CAPE 15 septembre 2021/418 consid. 3.2.2).</w:t>
      </w:r>
    </w:p>
    <w:p>
      <w:r>
        <w:rPr>
          <w:b/>
        </w:rPr>
        <w:t>E. 3.4</w:t>
      </w:r>
    </w:p>
    <w:p>
      <w:r>
        <w:t>En l’espèce, il convient, avec le premier juge, de constater que l’appelant s’est engagé auprès du garage [...] à répondre de toute contravention durant le parcours d’essai. Il a présenté son permis de conduire. Il ne conteste pas que l’excès de vitesse a eu lieu lors de la course d’essai. Il expose toutefois qu’après avoir pris en charge le véhicule au garage, il s’est rendu à son domicile pour y chercher son épouse, Z.________, afin qu’elle teste également la voiture. Il l’aurait ensuite ramenée à la maison avant de restituer ledit véhicule au garage. Selon lui, celle-ci pourrait être l’auteure de l’excès de vitesse. Z.________ a été entendue en qualité de témoin. Elle n’a cependant aucun souvenir précis de l’incident. Elle ne se souvient plus si elle a accompagné l’appelant au garage, si celui-ci est venu la chercher, s’il l’a ramenée après la course d’essai ou s’ils ont rejoint ensemble le garage. Elle a uniquement indiqué qu’elle avait circulé au volant du véhicule durant une vingtaine de minutes, qu’elle n’avait pas vu de flash, qu’elle connaissait les routes et qu’elle n’ignorait pas la présence d’un radar à l’endroit en question (cf. jgt, p. 4). Le tribunal a considéré, à juste titre, que l’absence de souvenirs de Z.________ était peu crédible et qu’elle avait pour but d’éviter tout risque de versions contradictoires avec l’appelant, en soulignant qu’il était étonnant qu’elle ne se souvienne pas d’un excès de vitesse alors qu’elle affirmait connaître les lieux et la présence d’un radar fixe à cet endroit. Il a conclu que l’appelant avait conduit seul le véhicule au moment de la contravention (cf. jgt, p. 9). En réalité, la crédibilité de l’épouse de l’appelant n’est pas déterminante. On ne peut à cet égard que prendre acte du fait qu’elle n’a aucun souvenir précis de la journée en question. En revanche, il faut constater qu’au moment de la remise du véhicule, l’appelant a apposé sa signature sur le document « Parcours d’essai avec un véhicule d’ [...]» dans lequel il déclarait engager sa responsabilité en cas de contravention. En s’engageant de la sorte, il se retrouvait ainsi dans la même position que le détenteur, ce qui, vu la jurisprudence, crée un indice de culpabilité suffisant, lequel justifie que des explications plausibles soient fournies. Or, le fait de plaider que l’excès de vitesse aurait tout aussi bien pu être causé par son épouse, au vu des souvenirs que tous les deux ont de cette journée, n'est pas un élément disculpatoire mais une simple hypothèse équivalant de fait à un silence qui doit amener à considérer que l'appelant conduisait bien le véhicule au moment des faits litigieux. Admettre le contraire permettrait à tout un chacun, qui se limiterait à évoquer des possibles, de se soustraire à une sanction pour une contravention à la loi sur la circulation routière. Au vu de ce qui précède, la condamnation de l’appelant pour violation simple des règles de la circulation doit être confirmée.</w:t>
      </w:r>
    </w:p>
    <w:p>
      <w:r>
        <w:rPr>
          <w:b/>
        </w:rPr>
        <w:t>E. 4</w:t>
      </w:r>
    </w:p>
    <w:p>
      <w:r>
        <w:t>L’appelant, qui conclut à son acquittement, ne conteste pas à titre subsidiaire le montant de l’amende prononcée à son encontre. Vérifié d’office, le montant de 600 fr. arrêté en première instance est adéquat, dès lors qu’il tient compte de la situation personnelle et financière de l’appelant. Il sera dès lors confirmé, de même que la peine privative de liberté de substitution fixée à 6 jours.</w:t>
      </w:r>
    </w:p>
    <w:p>
      <w:r>
        <w:rPr>
          <w:b/>
        </w:rPr>
        <w:t>E. 5</w:t>
      </w:r>
    </w:p>
    <w:p>
      <w:r>
        <w:t>En définitive, l’appel doit être rejeté et le jugement entrepris intégralement confirmé. Vu l'issue de la cause, les frais de la procédure d'appel, constitués du seul émolument d’arrêt, par 810 fr. (art. 21 al. 1 TFIP [tarif des frais de procédure et indemnités en matière pénale du 28 septembre 2010 ; BLV 312.03.1]), seront mis à la charge de l’appelant, qui succombe (art. 428 al. 1 CPP). Pour ce même motif, il n’y a pas lieu de lui allouer une indemnité pour les dépenses occasionnées par ses droits de défense en première instance et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