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110 vom 6. September 2023</w:t>
      </w:r>
    </w:p>
    <w:p>
      <w:r>
        <w:t>VD Tribunal cantonal, 2023-09-06, FR</w:t>
      </w:r>
    </w:p>
    <w:p>
      <w:r>
        <w:rPr>
          <w:b/>
        </w:rPr>
        <w:t xml:space="preserve">Quelle: </w:t>
      </w:r>
      <w:r>
        <w:t>https://mcp.opencaselaw.ch/entscheid/vd_findinfo_Jug___2024___110</w:t>
      </w:r>
    </w:p>
    <w:p>
      <w:r>
        <w:t>FR: VD_FINDINFO Jug / 2024 / 110 du 6 septembre 2023</w:t>
      </w:r>
    </w:p>
    <w:p>
      <w:r>
        <w:t>IT: VD_FINDINFO Jug / 2024 / 110 del 6 settembre 2023</w:t>
      </w:r>
    </w:p>
    <w:p>
      <w:pPr>
        <w:pStyle w:val="Heading2"/>
      </w:pPr>
      <w:r>
        <w:t>Regeste</w:t>
      </w:r>
    </w:p>
    <w:p>
      <w:r>
        <w:t>SURSIS À L'EXÉCUTION DE LA PEINE, CIRCONSTANCE EXTRAORDINAIRE, ADMISSION DE LA DEMANDE | 42 al. 2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requiert qu’un sursis à l’exécution de sa peine lui soit accordé.</w:t>
      </w:r>
    </w:p>
    <w:p>
      <w:r>
        <w:rPr>
          <w:b/>
        </w:rPr>
        <w:t>E. 3.2</w:t>
      </w:r>
    </w:p>
    <w:p>
      <w:r>
        <w:t>Aux termes de l'art. 42 al. 1 CP, le juge suspend en règle générale l'exécution d'une peine pécuniaire ou d'une peine privative de liberté de deux ans au plus lorsqu'une peine ferme ne paraît pas nécessaire pour détourner l'auteur d'autres crimes ou délits. 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6B_444/2023 du 17 août 2023 consid. 3.1 ; TF 6B_1171/2021 du 11 janvier 2023 consid. 2.2.1 ; TF 6B_930/2021 du 31 août 2022 consid. 5.1; TF 6B_183/2021 du 27 octobre 2021 consid. 2.1).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 TF 6B_930/2021 précité consid. 5.1; TF 6B_42/2018 du 17 mai 2018 consid. 1.2 et les arrêts cités).</w:t>
      </w:r>
    </w:p>
    <w:p>
      <w:r>
        <w:rPr>
          <w:b/>
        </w:rPr>
        <w:t>E. 3.3</w:t>
      </w:r>
    </w:p>
    <w:p>
      <w:r>
        <w:t>En l’espèce, l’appelant avait été condamné, dans les 5 ans qui avaient précédé les dernières infractions, en particulier à une peine privative de liberté de 5 ans. S’il est vrai que cet élément pèse très lourd dans l’appréciation du pronostic, on doit toutefois admettre que, depuis qu’il a quitté la Suisse, étant précisé qu’il n’est pas opposé à son expulsion, l’appelant a véritablement pris conscience qu’il doit définitivement quitter la délinquance et semble vouloir s’abstenir durablement de toute récidive. En effet, il s’est désormais installé en Espagne, où il mène une vie stable, loin de la délinquance. A cela s’ajoute que les faits qui lui sont reprochés sont anciens, puisqu’ils datent de 2018. L’ensemble de ces circonstances particulièrement favorables est susceptible de contrebalancer positivement l’élément négatif de ses antécédents. A l’instar du Ministère public, il y a donc lieu de considérer qu’une ultime chance peut être accordée à l’appelant. Partant, la peine privative de liberté de 15 mois fixée pour les infractions commises dans le cadre de la présente procédure sera assortie du sursis, le délai d’épreuve étant fixé à 4 ans, compte tenu de la gravité et de la récurrence des agissements.</w:t>
      </w:r>
    </w:p>
    <w:p>
      <w:r>
        <w:rPr>
          <w:b/>
        </w:rPr>
        <w:t>E. 4</w:t>
      </w:r>
    </w:p>
    <w:p>
      <w:r>
        <w:t>En définitive, l’appel doit être admis et le jugement attaqué modifié dans le sens des considérants qui précèdent. Il n’y a pas lieu de s’écarter de la liste des opérations produite par Me Jean-Valéry Gilléron, en remplacement du défenseur d’office de l’appelant, sous réserve de la durée de l’audience, qui a été surestimée, et du tarif pour lequel l’avocat a concédé qu’il s’agissait d’une erreur. Il y a donc lieu de retenir 14 heures au total, soit 5h51 au tarif horaire de 180 fr. pour les opérations antérieures au 1 er janvier 2024 et de 8h09 pour les opérations postérieures au 1er janvier 2024. Il s’ensuit qu’au tarif horaire de 180 fr. pour l’avocat breveté (art. 2 al. 1 let. a RAJ [règlement du</w:t>
      </w:r>
    </w:p>
    <w:p>
      <w:r>
        <w:rPr>
          <w:b/>
        </w:rPr>
        <w:t>E. 7</w:t>
      </w:r>
    </w:p>
    <w:p>
      <w:r>
        <w:t>mars 2024 , est notifié, par l'envoi d'une copie complète, à : - Me Olivier Couchepin, avocat (pour P.________), - Ministère public central, et communiqué à : - Mme la Présidente du Tribunal correctionnel de l'arrondissement de l’Est vaudois, - Mme la Procureure cantonale Strada,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7.7</w:t>
      </w:r>
    </w:p>
    <w:p>
      <w:r>
        <w:t>%) sur le tout (art. 2 al. 3 RAJ ; art. 25 al. 1 LTVA [Loi fédérale du 12 juin 2009 régissant la taxe sur la valeur ajoutée ; RS 641.20]), et, pour les opérations effectuées depuis le 1er janvier 2024, à 1’747 fr. 25, soit 1’467 fr. (8h09 x 180 fr.) à titre d’honoraires, 29 fr. 35 (2%) de débours forfaitaires, 120 fr. de vacation (montant retenu par souci de simplification et de toute manière plus favorable au défenseur d’office, qui fait valoir 58 minutes pour son temps de déplacement à l’extérieur du canton, lequel doit être indemnisé au tarif horaire intercantonal de 120 fr. [CAPE 11 mai 2020/129 ; CREP 5 mai 2015/306]) et 130 fr. 29 de TVA (à 8.1 %) sur le tout, ce qui porte l’indemnité à 2'904 francs. Vu l’issue de la cause, les frais de la procédure d’appel, par 4'484 fr., constitués en l’espèce de l’émolument de jugement, par 1’580 fr. (art. 21 al. 1 TFIP [tarif des frais de procédure et indemnités en matière pénale du 28 septembre 2010 ; BLV 312.03.1]), et des frais imputables à la défense d’office de P.________, fixés à 2'904 fr., seront laissés à la charge de l’Etat. La Cour d’appel pénale, statuant en contradictoire, appliquant à P.________ les art. 40, 42 al. 2, 47, 49 al. 1, 50, 66a al. 1 let. c, 140 ch. 1 CP ; 19 al. 1 let. d LStup ; 398 ss CPP, prononce : I. L’appel est admis. II. Le jugement rendu le 6 septembre 2023 par le Tribunal correctionnel de l’arrondissement de l’Est vaudois est modifié comme il suit au chiffre VIII de son dispositif, le dispositif du jugement étant désormais le suivant : " I. inchangé ; II. inchangé ; III. inchangé ; IV. inchangé ; V. inchangé ; VI. inchangé ; VII. inchangé ; VIII. condamne P.________ pour brigandage et infraction à la loi fédérale sur les stupéfiants à une peine privative de liberté de 15 (quinze) mois, avec sursis pendant 4 (quatre) ans ; IX. expulse par défaut P.________ du territoire suisse pour une durée de 10 (dix) ans ; X. inchangé ; XI. inchangé ; XII. inchangé ; XIII. inchangé ; XIV. inchangé ; XV. arrête l’indemnité de Me Olivier Couchepin, défenseur d’office de P.________, à 6'494 fr., débours, vacations et TVA incluse ; XVI. met les frais de justice, par 13'296 fr. 65 à la charge de Q.________, par 14'093 fr. 35 à la charge de V.________ et par 12'575 fr. 25 à la charge de P.________, montants incluant les indemnités de leurs défenseurs d’office respectifs ; XVII. rejette les requêtes d’indemnités des prévenus ; XVIII. dit que le remboursement à l’Etat de l’indemnité de leurs défenseurs d’office ne sera exigé que si la situation financière des condamnés le permet." III. Une indemnité de défenseur d'office pour la procédure d'appel d'un montant de 2'904 fr. , TVA et débours inclus, est allouée à Me Olivier Couchepin. IV. Les frais d'appel, par 4'484 fr., y compris l'indemnité allouée au défenseur d'office, sont laissés à la charge de l’Etat. V. Le jugement motivé est exécutoire. Le président :              La greffière : Du Le jugement qui précède, dont le dispositif a été communiqué par écrit aux intéressés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